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8" w:beforeLines="100" w:after="328" w:afterLines="100" w:line="590" w:lineRule="exact"/>
        <w:ind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8" w:beforeLines="100" w:after="328" w:afterLines="100"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门诊慢性病、特殊病药品零售药店协议管理申请表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71"/>
        <w:gridCol w:w="820"/>
        <w:gridCol w:w="1436"/>
        <w:gridCol w:w="1405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7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527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统一社会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7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583" w:type="dxa"/>
            <w:gridSpan w:val="5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7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所有制形式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47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供给门诊慢性病、特殊病药品能力和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质优价廉情况</w:t>
            </w:r>
          </w:p>
        </w:tc>
        <w:tc>
          <w:tcPr>
            <w:tcW w:w="7583" w:type="dxa"/>
            <w:gridSpan w:val="5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7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基本账户开户银行</w:t>
            </w:r>
          </w:p>
        </w:tc>
        <w:tc>
          <w:tcPr>
            <w:tcW w:w="3527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基本账户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账号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7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医疗机构执业许可证号</w:t>
            </w:r>
          </w:p>
        </w:tc>
        <w:tc>
          <w:tcPr>
            <w:tcW w:w="3527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零售药店药品经营许可证号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9056" w:type="dxa"/>
            <w:gridSpan w:val="6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法定代表人签字：                                    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      （盖章）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      年 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1AAC3E05"/>
    <w:rsid w:val="57AE0D49"/>
    <w:rsid w:val="5F4B2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2021-04-19T01:35:34Z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4C492F8006BD4DE98186AD74F227AF66</vt:lpwstr>
  </property>
</Properties>
</file>