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 w:val="0"/>
          <w:sz w:val="28"/>
          <w:szCs w:val="28"/>
          <w:lang w:val="en-US" w:eastAsia="zh-CN"/>
        </w:rPr>
        <w:t>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60" w:lineRule="exact"/>
        <w:textAlignment w:val="auto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巴中市基本医疗保险定点医药机构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  <w:lang w:eastAsia="zh-CN"/>
        </w:rPr>
        <w:t>门诊慢性病、特殊病</w:t>
      </w:r>
      <w:r>
        <w:rPr>
          <w:rFonts w:hint="eastAsia" w:ascii="Times New Roman" w:hAnsi="Times New Roman" w:eastAsia="方正小标宋_GBK" w:cs="Times New Roman"/>
          <w:b w:val="0"/>
          <w:sz w:val="44"/>
          <w:szCs w:val="44"/>
          <w:lang w:eastAsia="zh-CN"/>
        </w:rPr>
        <w:t>购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  <w:lang w:val="en-US" w:eastAsia="zh-CN"/>
        </w:rPr>
        <w:t>药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评估评分表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申报定点单位名称：        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00"/>
        <w:gridCol w:w="899"/>
        <w:gridCol w:w="8910"/>
        <w:gridCol w:w="1035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标准分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55" w:firstLineChars="155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评分细则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申报资料齐全真实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评估办法规定定点医院申报资料8项，每缺1项或出现一项申报资料不真实扣5分。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评估办法规定定点药店申报资料5项，每缺1项或出现1项申报资料不真实扣8分。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建议医疗机构与零售药店评估分开设置，各一张表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内容管理制度健全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医院建有财务制度，药品材料进销存实物台账，药品、材料、诊疗项目价格公示制度，医疗服务质量管理制度，规范收费等各项制度、无医疗事故记满分，每缺1项管理制度扣6分，出现1次医疗事故扣10分。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药店建有财务制度，药品材料进销存实物台账，药品、材料价格公示制度，药品质量保证制度，药品价格管理制度、无药品质量事故记满分，每缺1项管理制度扣6分，出现1次药品质量事故扣10分。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7" w:beforeLines="100"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建有内部计算机管理系统和医保管理机制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医院具备接入“金保工程”系统专网的软、硬件条件及业务操作人员，具备实时上传医疗服务明细数据的能力记8分，不具备不记分。配备有分管医保工作领导和工作人员记2分，没有则不记分。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药店具备接入“金保工程”系统专网的软、硬件条件及业务操作人员，具备实行药品进销存电算化管理，做到“账、实”相符的记8分，不具备不记分。落实医保管理人员记2分，没有则不记分。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yellow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政策宣传公示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10分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建议设置“医疗保障法律法规和政策宣传公示、咨询的设置情况”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供给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能力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否定项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随机抽取20个品种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门诊慢性病、特殊病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药品的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供给证明材料；缺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材料或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申报资料不真实。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定点医药机构评估得分在80分及以上为合格。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现场</w:t>
      </w:r>
      <w:r>
        <w:rPr>
          <w:rFonts w:hint="default" w:ascii="Times New Roman" w:hAnsi="Times New Roman" w:cs="Times New Roman"/>
          <w:szCs w:val="21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1"/>
        </w:rPr>
        <w:t>核实</w:t>
      </w:r>
      <w:r>
        <w:rPr>
          <w:rFonts w:hint="default" w:ascii="Times New Roman" w:hAnsi="Times New Roman" w:cs="Times New Roman"/>
          <w:szCs w:val="21"/>
          <w:lang w:val="en-US" w:eastAsia="zh-CN"/>
        </w:rPr>
        <w:t>组长</w:t>
      </w:r>
      <w:r>
        <w:rPr>
          <w:rFonts w:hint="default" w:ascii="Times New Roman" w:hAnsi="Times New Roman" w:cs="Times New Roman"/>
          <w:szCs w:val="21"/>
        </w:rPr>
        <w:t>（签字）：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/>
          <w:szCs w:val="21"/>
        </w:rPr>
        <w:t>现场</w:t>
      </w:r>
      <w:r>
        <w:rPr>
          <w:rFonts w:hint="default" w:ascii="Times New Roman" w:hAnsi="Times New Roman" w:cs="Times New Roman"/>
          <w:szCs w:val="21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1"/>
        </w:rPr>
        <w:t>核实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人员（签字）：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                                                                         年    月    日</w:t>
      </w:r>
    </w:p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26D23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2E359834CCEF42AE90320157250DB611</vt:lpwstr>
  </property>
</Properties>
</file>