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华文仿宋" w:hAnsi="华文仿宋" w:eastAsia="华文仿宋" w:cs="Times New Roman"/>
          <w:bCs/>
          <w:color w:val="000000"/>
          <w:kern w:val="0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spacing w:line="3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hint="eastAsia" w:ascii="宋体" w:hAnsi="宋体" w:cs="方正小标宋_GBK"/>
          <w:bCs/>
          <w:sz w:val="44"/>
          <w:szCs w:val="44"/>
        </w:rPr>
      </w:pPr>
      <w:bookmarkStart w:id="0" w:name="_GoBack"/>
      <w:r>
        <w:rPr>
          <w:rFonts w:hint="eastAsia" w:ascii="宋体" w:hAnsi="宋体" w:cs="方正小标宋_GBK"/>
          <w:bCs/>
          <w:color w:val="000000"/>
          <w:kern w:val="0"/>
          <w:sz w:val="44"/>
          <w:szCs w:val="44"/>
        </w:rPr>
        <w:t>巴中市城乡居民医保“两病”申请认定表</w:t>
      </w:r>
    </w:p>
    <w:bookmarkEnd w:id="0"/>
    <w:p>
      <w:pPr>
        <w:spacing w:line="300" w:lineRule="exact"/>
        <w:ind w:firstLine="640" w:firstLineChars="200"/>
        <w:rPr>
          <w:rFonts w:ascii="宋体" w:hAnsi="宋体" w:cs="Times New Roman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华文仿宋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华文仿宋" w:cs="Times New Roman"/>
          <w:color w:val="000000"/>
          <w:kern w:val="0"/>
          <w:sz w:val="28"/>
          <w:szCs w:val="28"/>
        </w:rPr>
        <w:t>认定医疗机构：</w:t>
      </w:r>
    </w:p>
    <w:tbl>
      <w:tblPr>
        <w:tblStyle w:val="2"/>
        <w:tblW w:w="95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63"/>
        <w:gridCol w:w="755"/>
        <w:gridCol w:w="1002"/>
        <w:gridCol w:w="1575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96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00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283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参保地</w:t>
            </w: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283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申报病种</w:t>
            </w:r>
          </w:p>
        </w:tc>
        <w:tc>
          <w:tcPr>
            <w:tcW w:w="37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高血压□  糖尿病□</w:t>
            </w: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33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575" w:type="dxa"/>
            <w:gridSpan w:val="6"/>
            <w:noWrap/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简要病史及检查结果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57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认定结果：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ind w:firstLine="4160" w:firstLineChars="160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认定医师签章：   年 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月   日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575" w:type="dxa"/>
            <w:gridSpan w:val="6"/>
            <w:noWrap/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认定医疗机构意见：</w:t>
            </w:r>
          </w:p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ind w:firstLine="4160" w:firstLineChars="1600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医疗机构（章）：   年 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575" w:type="dxa"/>
            <w:gridSpan w:val="6"/>
            <w:noWrap/>
            <w:vAlign w:val="top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>医保机构意见：</w:t>
            </w:r>
          </w:p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6"/>
                <w:szCs w:val="26"/>
              </w:rPr>
              <w:t xml:space="preserve">          年     月     日</w:t>
            </w:r>
          </w:p>
        </w:tc>
      </w:tr>
    </w:tbl>
    <w:p>
      <w:pPr>
        <w:spacing w:line="100" w:lineRule="exact"/>
        <w:rPr>
          <w:rFonts w:ascii="Times New Roman" w:hAnsi="Times New Roman" w:eastAsia="华文仿宋" w:cs="Times New Roman"/>
          <w:sz w:val="24"/>
          <w:szCs w:val="24"/>
        </w:rPr>
      </w:pPr>
    </w:p>
    <w:p>
      <w:pPr>
        <w:spacing w:line="320" w:lineRule="exact"/>
        <w:ind w:firstLine="480" w:firstLineChars="200"/>
        <w:rPr>
          <w:rFonts w:ascii="Times New Roman" w:hAnsi="Times New Roman" w:eastAsia="华文仿宋" w:cs="Times New Roman"/>
          <w:sz w:val="24"/>
          <w:szCs w:val="24"/>
        </w:rPr>
      </w:pPr>
      <w:r>
        <w:rPr>
          <w:rFonts w:ascii="Times New Roman" w:hAnsi="Times New Roman" w:eastAsia="华文仿宋" w:cs="Times New Roman"/>
          <w:sz w:val="24"/>
          <w:szCs w:val="24"/>
        </w:rPr>
        <w:t>备注：1、本表一式三份，一份交患者，一份认定机构存档，一份医保机构存档。2、“两病”认定时间2019年12月份采取即时认定，次年1月1日起，按门诊慢性特殊疾病规定执行。</w:t>
      </w:r>
    </w:p>
    <w:p>
      <w:pPr>
        <w:spacing w:line="500" w:lineRule="exact"/>
        <w:rPr>
          <w:rFonts w:ascii="Times New Roman" w:hAnsi="Times New Roman" w:eastAsia="方正仿宋_GBK" w:cs="Times New Roman"/>
          <w:sz w:val="28"/>
          <w:szCs w:val="28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177D2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qFormat/>
    <w:uiPriority w:val="99"/>
    <w:pPr>
      <w:shd w:val="clear" w:color="auto" w:fill="FFFFFF"/>
      <w:spacing w:before="900" w:line="610" w:lineRule="exact"/>
      <w:jc w:val="distribute"/>
    </w:pPr>
    <w:rPr>
      <w:rFonts w:ascii="MingLiU" w:hAnsi="MingLiU" w:eastAsia="MingLiU" w:cs="MingLiU"/>
      <w:spacing w:val="3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2021-04-20T06:24:27Z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89EE15E61CB54E3AAF0D5EB91163E9B6</vt:lpwstr>
  </property>
</Properties>
</file>