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224" w:lineRule="auto"/>
        <w:rPr>
          <w:rFonts w:hint="default" w:ascii="Times New Roman" w:hAnsi="Times New Roman" w:eastAsia="方正黑体_GBK" w:cs="Times New Roman"/>
          <w:b w:val="0"/>
          <w:bCs w:val="0"/>
          <w:spacing w:val="-13"/>
          <w:sz w:val="32"/>
          <w:szCs w:val="32"/>
        </w:rPr>
      </w:pPr>
      <w:r>
        <w:rPr>
          <w:rFonts w:hint="default" w:ascii="Times New Roman" w:hAnsi="Times New Roman" w:eastAsia="方正黑体_GBK" w:cs="Times New Roman"/>
          <w:b w:val="0"/>
          <w:bCs w:val="0"/>
          <w:spacing w:val="-13"/>
          <w:sz w:val="32"/>
          <w:szCs w:val="32"/>
        </w:rPr>
        <w:t>附件2</w:t>
      </w:r>
    </w:p>
    <w:p>
      <w:pPr>
        <w:spacing w:before="117" w:line="218" w:lineRule="auto"/>
        <w:jc w:val="center"/>
        <w:rPr>
          <w:rFonts w:hint="eastAsia" w:ascii="方正小标宋_GBK" w:hAnsi="方正小标宋_GBK" w:eastAsia="方正小标宋_GBK" w:cs="方正小标宋_GBK"/>
          <w:b w:val="0"/>
          <w:bCs w:val="0"/>
          <w:spacing w:val="-5"/>
          <w:sz w:val="44"/>
          <w:szCs w:val="44"/>
        </w:rPr>
      </w:pPr>
      <w:bookmarkStart w:id="0" w:name="_GoBack"/>
      <w:r>
        <w:rPr>
          <w:rFonts w:hint="eastAsia" w:ascii="方正小标宋_GBK" w:hAnsi="方正小标宋_GBK" w:eastAsia="方正小标宋_GBK" w:cs="方正小标宋_GBK"/>
          <w:b w:val="0"/>
          <w:bCs w:val="0"/>
          <w:spacing w:val="-5"/>
          <w:sz w:val="44"/>
          <w:szCs w:val="44"/>
        </w:rPr>
        <w:t>四川省实行市场调节价管理口腔种植医疗服务价格项目表</w:t>
      </w:r>
    </w:p>
    <w:bookmarkEnd w:id="0"/>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Times New Roman" w:hAnsi="Times New Roman" w:eastAsia="宋体" w:cs="Times New Roman"/>
          <w:b w:val="0"/>
          <w:bCs w:val="0"/>
          <w:spacing w:val="0"/>
          <w:sz w:val="18"/>
          <w:szCs w:val="18"/>
        </w:rPr>
      </w:pPr>
    </w:p>
    <w:tbl>
      <w:tblPr>
        <w:tblStyle w:val="5"/>
        <w:tblW w:w="14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525"/>
        <w:gridCol w:w="1895"/>
        <w:gridCol w:w="1146"/>
        <w:gridCol w:w="1827"/>
        <w:gridCol w:w="3777"/>
        <w:gridCol w:w="818"/>
        <w:gridCol w:w="633"/>
        <w:gridCol w:w="10"/>
        <w:gridCol w:w="2393"/>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555" w:type="dxa"/>
            <w:noWrap w:val="0"/>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序号</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国家项目代码</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国家项目名称</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项目编码</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拟定项目名称</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项目内涵</w:t>
            </w: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除外</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内容</w:t>
            </w: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计价</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单位</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eastAsia" w:ascii="方正黑体_GBK" w:hAnsi="方正黑体_GBK" w:eastAsia="方正黑体_GBK" w:cs="方正黑体_GBK"/>
                <w:b/>
                <w:bCs/>
                <w:spacing w:val="0"/>
                <w:sz w:val="20"/>
                <w:szCs w:val="20"/>
              </w:rPr>
            </w:pPr>
            <w:r>
              <w:rPr>
                <w:rFonts w:hint="eastAsia" w:ascii="方正黑体_GBK" w:hAnsi="方正黑体_GBK" w:eastAsia="方正黑体_GBK" w:cs="方正黑体_GBK"/>
                <w:b/>
                <w:bCs/>
                <w:spacing w:val="0"/>
                <w:sz w:val="20"/>
                <w:szCs w:val="20"/>
              </w:rPr>
              <w:t>计价说明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1</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013306090020000</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330609015</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服务产出：对范围超过一个象限以上的连续牙齿缺失进行种植体的植入以实现桥式修复。价格构成：涵盖方案设计、术前准备，备洞，种植体植入，二期手术，术后处理，手术复查等步骤人力资源和基本物资消耗。</w:t>
            </w: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种植体系统</w:t>
            </w: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例</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01种植体即刻种植加收X%;02颅颌面种植体植入每一牙位加收X%;03种植体倾斜植入每一牙位加收X%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2</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013306090020001</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种植体植入费(全牙弓)-种植体即刻种植(加收)</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330609015-1</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种植体植入费(全牙弓)-种植体即刻种植(加收)</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例</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013306090020002</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(全牙弓)-颅颌面种植体植入(加收)</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330609015-2</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(全牙弓)-颅颌面种植体植入(加收)</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牙位</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4</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013306090020003</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种植体植入费(全牙弓)-种植体倾斜植入(加收)</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330609015-3</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种植体植入费(全牙弓)-种植体倾斜植入(加收)</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牙位</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5</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013105170030000</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种植牙冠修复置入费(固定咬合重建)</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310523010</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种植牙冠修复置入费(固定咬合重建)</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服务产出：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牙冠、种植体系统</w:t>
            </w:r>
          </w:p>
        </w:tc>
        <w:tc>
          <w:tcPr>
            <w:tcW w:w="6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w:t>
            </w:r>
          </w:p>
        </w:tc>
        <w:tc>
          <w:tcPr>
            <w:tcW w:w="240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“件”为半口；01即刻修复置入加收X%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dxa"/>
          <w:trHeight w:val="97"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6</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013105170030001</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种植牙冠修复置入费(固定咬合重建)-即刻修复置入(加收)</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310523010-1</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种植牙冠修复置入费</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(固定咬合重建)</w:t>
            </w:r>
          </w:p>
          <w:p>
            <w:pPr>
              <w:keepNext w:val="0"/>
              <w:keepLines w:val="0"/>
              <w:pageBreakBefore w:val="0"/>
              <w:widowControl/>
              <w:tabs>
                <w:tab w:val="left" w:pos="255"/>
              </w:tabs>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即刻修复置入(加收)</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p>
        </w:tc>
        <w:tc>
          <w:tcPr>
            <w:tcW w:w="63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w:t>
            </w:r>
          </w:p>
        </w:tc>
        <w:tc>
          <w:tcPr>
            <w:tcW w:w="240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dxa"/>
          <w:trHeight w:val="584"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7</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013105230010000</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种植可摘修复置入费</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310523011</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种植可摘修复置入费</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服务产出：实现种植体上部可摘修复体的置入。</w:t>
            </w:r>
          </w:p>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价格构成：涵盖方案设计、印模制取、颌位确定、位置转移、试排牙、模型制作、戴入、调改、宣教等人力资源和基本物资消耗。</w:t>
            </w: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牙冠、种植体系统</w:t>
            </w:r>
          </w:p>
        </w:tc>
        <w:tc>
          <w:tcPr>
            <w:tcW w:w="63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w:t>
            </w:r>
          </w:p>
        </w:tc>
        <w:tc>
          <w:tcPr>
            <w:tcW w:w="240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“件”为半口；01即刻修复置入加收X%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dxa"/>
          <w:trHeight w:val="90" w:hRule="atLeast"/>
          <w:jc w:val="center"/>
        </w:trPr>
        <w:tc>
          <w:tcPr>
            <w:tcW w:w="55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8</w:t>
            </w:r>
          </w:p>
        </w:tc>
        <w:tc>
          <w:tcPr>
            <w:tcW w:w="1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013105230010001</w:t>
            </w:r>
          </w:p>
        </w:tc>
        <w:tc>
          <w:tcPr>
            <w:tcW w:w="18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种植可摘修复置入费-即刻修复置入(加收)</w:t>
            </w:r>
          </w:p>
        </w:tc>
        <w:tc>
          <w:tcPr>
            <w:tcW w:w="11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310523011-1</w:t>
            </w:r>
          </w:p>
        </w:tc>
        <w:tc>
          <w:tcPr>
            <w:tcW w:w="182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种植可摘修复置入费-即刻修复置入(加收)</w:t>
            </w:r>
          </w:p>
        </w:tc>
        <w:tc>
          <w:tcPr>
            <w:tcW w:w="377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c>
          <w:tcPr>
            <w:tcW w:w="8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p>
        </w:tc>
        <w:tc>
          <w:tcPr>
            <w:tcW w:w="63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center"/>
              <w:textAlignment w:val="baseline"/>
              <w:rPr>
                <w:rFonts w:hint="default" w:ascii="Times New Roman" w:hAnsi="Times New Roman" w:eastAsia="宋体" w:cs="Times New Roman"/>
                <w:b/>
                <w:bCs/>
                <w:spacing w:val="0"/>
                <w:sz w:val="18"/>
                <w:szCs w:val="18"/>
              </w:rPr>
            </w:pPr>
            <w:r>
              <w:rPr>
                <w:rFonts w:hint="default" w:ascii="Times New Roman" w:hAnsi="Times New Roman" w:eastAsia="宋体" w:cs="Times New Roman"/>
                <w:b/>
                <w:bCs/>
                <w:spacing w:val="0"/>
                <w:sz w:val="18"/>
                <w:szCs w:val="18"/>
              </w:rPr>
              <w:t>件</w:t>
            </w:r>
          </w:p>
        </w:tc>
        <w:tc>
          <w:tcPr>
            <w:tcW w:w="240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left="0" w:right="0" w:firstLine="0" w:firstLineChars="0"/>
              <w:jc w:val="both"/>
              <w:textAlignment w:val="baseline"/>
              <w:rPr>
                <w:rFonts w:hint="default" w:ascii="Times New Roman" w:hAnsi="Times New Roman" w:eastAsia="宋体" w:cs="Times New Roman"/>
                <w:b/>
                <w:bCs/>
                <w:spacing w:val="0"/>
                <w:sz w:val="18"/>
                <w:szCs w:val="18"/>
              </w:rPr>
            </w:pPr>
          </w:p>
        </w:tc>
      </w:tr>
    </w:tbl>
    <w:p>
      <w:pPr>
        <w:keepNext w:val="0"/>
        <w:keepLines w:val="0"/>
        <w:pageBreakBefore w:val="0"/>
        <w:widowControl/>
        <w:kinsoku w:val="0"/>
        <w:wordWrap/>
        <w:overflowPunct/>
        <w:topLinePunct w:val="0"/>
        <w:autoSpaceDE w:val="0"/>
        <w:autoSpaceDN w:val="0"/>
        <w:bidi w:val="0"/>
        <w:adjustRightInd w:val="0"/>
        <w:snapToGrid w:val="0"/>
        <w:spacing w:line="180" w:lineRule="exact"/>
        <w:ind w:firstLine="321" w:firstLineChars="200"/>
        <w:textAlignment w:val="baseline"/>
        <w:rPr>
          <w:rFonts w:hint="default" w:ascii="Times New Roman" w:hAnsi="Times New Roman" w:eastAsia="仿宋" w:cs="Times New Roman"/>
          <w:b/>
          <w:bCs/>
          <w:sz w:val="16"/>
          <w:szCs w:val="16"/>
        </w:rPr>
      </w:pPr>
      <w:r>
        <w:rPr>
          <w:rFonts w:hint="default" w:ascii="Times New Roman" w:hAnsi="Times New Roman" w:eastAsia="宋体" w:cs="Times New Roman"/>
          <w:b/>
          <w:bCs/>
          <w:spacing w:val="0"/>
          <w:sz w:val="16"/>
          <w:szCs w:val="16"/>
        </w:rPr>
        <w:t>使用说明：1.本项目表所指植入体为种植体、基台等植入牙床、包裹在牙龈内的医用耗材，置入体是指种植牙冠、义齿等安置在口腔内、暴露在牙龈之外，不与人体组织直接结合的医用耗材。2.本项目表所称“价格构成”,指制定项目价格应涵盖的各类资源消耗，医疗机构实际提供服务时，“价格构成”的个别要素因患者个体差异可以不发生的，除另有政策规定外，应允许医疗机构收费适用相应的项目和价格政策。此外，“价格构成”用于确定计价单元的边界，不应作为临床技术标准理解，不是医疗服务实际操作方式、路径、步骤、程序的强制性要求。3.本项目表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4.即刻种植指拔牙或牙齿缺失当日完成种植体植入的情况；即刻修复指种植体植入后1周以内完成牙冠置入的情形。5.医疗机构应对本院施治的口腔内牙齿缺失植入体、置入体进行保质保修，保修范围内出现损坏，医疗机构应免费进行修理、再制作，不得向患者收取费用。6.以上新增医疗服务价格项目参照现行各级分类“说明”执行。</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B689C"/>
    <w:rsid w:val="34DB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2023-04-20T02:05:00Z</dcterms:created>
  <dc:creator>Lenovo</dc:creator>
  <cp:lastModifiedBy>Lenovo</cp:lastModifiedBy>
  <dcterms:modified xsi:type="dcterms:W3CDTF">2023-04-20T02:06:11Z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