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7" w:line="224" w:lineRule="auto"/>
        <w:rPr>
          <w:rFonts w:hint="default" w:ascii="Times New Roman" w:hAnsi="Times New Roman" w:eastAsia="方正黑体_GBK" w:cs="Times New Roman"/>
          <w:b w:val="0"/>
          <w:bCs w:val="0"/>
          <w:spacing w:val="-13"/>
          <w:sz w:val="32"/>
          <w:szCs w:val="32"/>
        </w:rPr>
      </w:pPr>
      <w:r>
        <w:rPr>
          <w:rFonts w:hint="default" w:ascii="Times New Roman" w:hAnsi="Times New Roman" w:eastAsia="方正黑体_GBK" w:cs="Times New Roman"/>
          <w:b w:val="0"/>
          <w:bCs w:val="0"/>
          <w:spacing w:val="-13"/>
          <w:sz w:val="32"/>
          <w:szCs w:val="32"/>
        </w:rPr>
        <w:t>附件1</w:t>
      </w:r>
    </w:p>
    <w:p>
      <w:pPr>
        <w:spacing w:before="117" w:line="224" w:lineRule="auto"/>
        <w:jc w:val="center"/>
        <w:rPr>
          <w:rFonts w:hint="eastAsia" w:ascii="方正小标宋_GBK" w:hAnsi="方正小标宋_GBK" w:eastAsia="方正小标宋_GBK" w:cs="方正小标宋_GBK"/>
          <w:i w:val="0"/>
          <w:iCs w:val="0"/>
          <w:snapToGrid w:val="0"/>
          <w:color w:val="000000"/>
          <w:kern w:val="0"/>
          <w:sz w:val="44"/>
          <w:szCs w:val="44"/>
          <w:u w:val="none"/>
          <w:lang w:val="en-US" w:eastAsia="zh-CN" w:bidi="ar"/>
        </w:rPr>
      </w:pPr>
      <w:bookmarkStart w:id="0" w:name="_GoBack"/>
      <w:r>
        <w:rPr>
          <w:rFonts w:hint="eastAsia" w:ascii="方正小标宋_GBK" w:hAnsi="方正小标宋_GBK" w:eastAsia="方正小标宋_GBK" w:cs="方正小标宋_GBK"/>
          <w:i w:val="0"/>
          <w:iCs w:val="0"/>
          <w:snapToGrid w:val="0"/>
          <w:color w:val="000000"/>
          <w:kern w:val="0"/>
          <w:sz w:val="44"/>
          <w:szCs w:val="44"/>
          <w:u w:val="none"/>
          <w:lang w:val="en-US" w:eastAsia="zh-CN" w:bidi="ar"/>
        </w:rPr>
        <w:t>巴中市新增口腔种植医疗服务项目试行价格表</w:t>
      </w:r>
    </w:p>
    <w:bookmarkEnd w:id="0"/>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default" w:ascii="方正小标宋_GBK" w:hAnsi="方正小标宋_GBK" w:eastAsia="方正小标宋_GBK" w:cs="方正小标宋_GBK"/>
          <w:i w:val="0"/>
          <w:iCs w:val="0"/>
          <w:snapToGrid w:val="0"/>
          <w:color w:val="000000"/>
          <w:kern w:val="0"/>
          <w:sz w:val="44"/>
          <w:szCs w:val="44"/>
          <w:u w:val="none"/>
          <w:lang w:val="en-US" w:eastAsia="zh-CN" w:bidi="ar"/>
        </w:rPr>
      </w:pPr>
    </w:p>
    <w:tbl>
      <w:tblPr>
        <w:tblStyle w:val="4"/>
        <w:tblW w:w="1548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45"/>
        <w:gridCol w:w="1146"/>
        <w:gridCol w:w="2094"/>
        <w:gridCol w:w="3429"/>
        <w:gridCol w:w="1200"/>
        <w:gridCol w:w="707"/>
        <w:gridCol w:w="2228"/>
        <w:gridCol w:w="648"/>
        <w:gridCol w:w="648"/>
        <w:gridCol w:w="648"/>
        <w:gridCol w:w="648"/>
        <w:gridCol w:w="721"/>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blHeader/>
          <w:jc w:val="center"/>
        </w:trPr>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eastAsia" w:ascii="方正黑体_GBK" w:hAnsi="方正黑体_GBK" w:eastAsia="方正黑体_GBK" w:cs="方正黑体_GBK"/>
                <w:b/>
                <w:bCs/>
                <w:i w:val="0"/>
                <w:iCs w:val="0"/>
                <w:color w:val="000000"/>
                <w:sz w:val="22"/>
                <w:szCs w:val="22"/>
                <w:u w:val="none"/>
              </w:rPr>
            </w:pPr>
            <w:r>
              <w:rPr>
                <w:rFonts w:hint="eastAsia" w:ascii="方正黑体_GBK" w:hAnsi="方正黑体_GBK" w:eastAsia="方正黑体_GBK" w:cs="方正黑体_GBK"/>
                <w:b/>
                <w:bCs/>
                <w:i w:val="0"/>
                <w:iCs w:val="0"/>
                <w:snapToGrid w:val="0"/>
                <w:color w:val="000000"/>
                <w:kern w:val="0"/>
                <w:sz w:val="22"/>
                <w:szCs w:val="22"/>
                <w:u w:val="none"/>
                <w:lang w:val="en-US" w:eastAsia="zh-CN" w:bidi="ar"/>
              </w:rPr>
              <w:t>序号</w:t>
            </w:r>
          </w:p>
        </w:tc>
        <w:tc>
          <w:tcPr>
            <w:tcW w:w="11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eastAsia" w:ascii="方正黑体_GBK" w:hAnsi="方正黑体_GBK" w:eastAsia="方正黑体_GBK" w:cs="方正黑体_GBK"/>
                <w:b/>
                <w:bCs/>
                <w:i w:val="0"/>
                <w:iCs w:val="0"/>
                <w:color w:val="000000"/>
                <w:sz w:val="22"/>
                <w:szCs w:val="22"/>
                <w:u w:val="none"/>
              </w:rPr>
            </w:pPr>
            <w:r>
              <w:rPr>
                <w:rStyle w:val="6"/>
                <w:rFonts w:hint="eastAsia" w:ascii="方正黑体_GBK" w:hAnsi="方正黑体_GBK" w:eastAsia="方正黑体_GBK" w:cs="方正黑体_GBK"/>
                <w:b/>
                <w:bCs/>
                <w:snapToGrid w:val="0"/>
                <w:color w:val="000000"/>
                <w:sz w:val="22"/>
                <w:szCs w:val="22"/>
                <w:lang w:val="en-US" w:eastAsia="zh-CN" w:bidi="ar"/>
              </w:rPr>
              <w:t>项目编码</w:t>
            </w:r>
          </w:p>
        </w:tc>
        <w:tc>
          <w:tcPr>
            <w:tcW w:w="20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eastAsia" w:ascii="方正黑体_GBK" w:hAnsi="方正黑体_GBK" w:eastAsia="方正黑体_GBK" w:cs="方正黑体_GBK"/>
                <w:b/>
                <w:bCs/>
                <w:i w:val="0"/>
                <w:iCs w:val="0"/>
                <w:color w:val="000000"/>
                <w:sz w:val="22"/>
                <w:szCs w:val="22"/>
                <w:u w:val="none"/>
              </w:rPr>
            </w:pPr>
            <w:r>
              <w:rPr>
                <w:rFonts w:hint="eastAsia" w:ascii="方正黑体_GBK" w:hAnsi="方正黑体_GBK" w:eastAsia="方正黑体_GBK" w:cs="方正黑体_GBK"/>
                <w:b/>
                <w:bCs/>
                <w:i w:val="0"/>
                <w:iCs w:val="0"/>
                <w:snapToGrid w:val="0"/>
                <w:color w:val="000000"/>
                <w:kern w:val="0"/>
                <w:sz w:val="22"/>
                <w:szCs w:val="22"/>
                <w:u w:val="none"/>
                <w:lang w:val="en-US" w:eastAsia="zh-CN" w:bidi="ar"/>
              </w:rPr>
              <w:t>项目名称</w:t>
            </w:r>
          </w:p>
        </w:tc>
        <w:tc>
          <w:tcPr>
            <w:tcW w:w="34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eastAsia" w:ascii="方正黑体_GBK" w:hAnsi="方正黑体_GBK" w:eastAsia="方正黑体_GBK" w:cs="方正黑体_GBK"/>
                <w:b/>
                <w:bCs/>
                <w:i w:val="0"/>
                <w:iCs w:val="0"/>
                <w:color w:val="000000"/>
                <w:sz w:val="22"/>
                <w:szCs w:val="22"/>
                <w:u w:val="none"/>
              </w:rPr>
            </w:pPr>
            <w:r>
              <w:rPr>
                <w:rFonts w:hint="eastAsia" w:ascii="方正黑体_GBK" w:hAnsi="方正黑体_GBK" w:eastAsia="方正黑体_GBK" w:cs="方正黑体_GBK"/>
                <w:b/>
                <w:bCs/>
                <w:i w:val="0"/>
                <w:iCs w:val="0"/>
                <w:snapToGrid w:val="0"/>
                <w:color w:val="000000"/>
                <w:kern w:val="0"/>
                <w:sz w:val="22"/>
                <w:szCs w:val="22"/>
                <w:u w:val="none"/>
                <w:lang w:val="en-US" w:eastAsia="zh-CN" w:bidi="ar"/>
              </w:rPr>
              <w:t>项目内涵</w:t>
            </w:r>
          </w:p>
        </w:tc>
        <w:tc>
          <w:tcPr>
            <w:tcW w:w="12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eastAsia" w:ascii="方正黑体_GBK" w:hAnsi="方正黑体_GBK" w:eastAsia="方正黑体_GBK" w:cs="方正黑体_GBK"/>
                <w:b/>
                <w:bCs/>
                <w:i w:val="0"/>
                <w:iCs w:val="0"/>
                <w:color w:val="000000"/>
                <w:sz w:val="22"/>
                <w:szCs w:val="22"/>
                <w:u w:val="none"/>
              </w:rPr>
            </w:pPr>
            <w:r>
              <w:rPr>
                <w:rStyle w:val="6"/>
                <w:rFonts w:hint="eastAsia" w:ascii="方正黑体_GBK" w:hAnsi="方正黑体_GBK" w:eastAsia="方正黑体_GBK" w:cs="方正黑体_GBK"/>
                <w:b/>
                <w:bCs/>
                <w:snapToGrid w:val="0"/>
                <w:color w:val="000000"/>
                <w:sz w:val="22"/>
                <w:szCs w:val="22"/>
                <w:lang w:val="en-US" w:eastAsia="zh-CN" w:bidi="ar"/>
              </w:rPr>
              <w:t>除外内容</w:t>
            </w:r>
          </w:p>
        </w:tc>
        <w:tc>
          <w:tcPr>
            <w:tcW w:w="7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eastAsia" w:ascii="方正黑体_GBK" w:hAnsi="方正黑体_GBK" w:eastAsia="方正黑体_GBK" w:cs="方正黑体_GBK"/>
                <w:b/>
                <w:bCs/>
                <w:i w:val="0"/>
                <w:iCs w:val="0"/>
                <w:color w:val="000000"/>
                <w:sz w:val="22"/>
                <w:szCs w:val="22"/>
                <w:u w:val="none"/>
              </w:rPr>
            </w:pPr>
            <w:r>
              <w:rPr>
                <w:rStyle w:val="6"/>
                <w:rFonts w:hint="eastAsia" w:ascii="方正黑体_GBK" w:hAnsi="方正黑体_GBK" w:eastAsia="方正黑体_GBK" w:cs="方正黑体_GBK"/>
                <w:b/>
                <w:bCs/>
                <w:snapToGrid w:val="0"/>
                <w:color w:val="000000"/>
                <w:sz w:val="22"/>
                <w:szCs w:val="22"/>
                <w:lang w:val="en-US" w:eastAsia="zh-CN" w:bidi="ar"/>
              </w:rPr>
              <w:t>计价</w:t>
            </w:r>
            <w:r>
              <w:rPr>
                <w:rStyle w:val="7"/>
                <w:rFonts w:hint="eastAsia" w:ascii="方正黑体_GBK" w:hAnsi="方正黑体_GBK" w:eastAsia="方正黑体_GBK" w:cs="方正黑体_GBK"/>
                <w:b/>
                <w:bCs/>
                <w:snapToGrid w:val="0"/>
                <w:color w:val="000000"/>
                <w:sz w:val="22"/>
                <w:szCs w:val="22"/>
                <w:lang w:val="en-US" w:eastAsia="zh-CN" w:bidi="ar"/>
              </w:rPr>
              <w:br w:type="textWrapping"/>
            </w:r>
            <w:r>
              <w:rPr>
                <w:rStyle w:val="6"/>
                <w:rFonts w:hint="eastAsia" w:ascii="方正黑体_GBK" w:hAnsi="方正黑体_GBK" w:eastAsia="方正黑体_GBK" w:cs="方正黑体_GBK"/>
                <w:b/>
                <w:bCs/>
                <w:snapToGrid w:val="0"/>
                <w:color w:val="000000"/>
                <w:sz w:val="22"/>
                <w:szCs w:val="22"/>
                <w:lang w:val="en-US" w:eastAsia="zh-CN" w:bidi="ar"/>
              </w:rPr>
              <w:t>单位</w:t>
            </w:r>
          </w:p>
        </w:tc>
        <w:tc>
          <w:tcPr>
            <w:tcW w:w="222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eastAsia" w:ascii="方正黑体_GBK" w:hAnsi="方正黑体_GBK" w:eastAsia="方正黑体_GBK" w:cs="方正黑体_GBK"/>
                <w:b/>
                <w:bCs/>
                <w:i w:val="0"/>
                <w:iCs w:val="0"/>
                <w:color w:val="000000"/>
                <w:sz w:val="22"/>
                <w:szCs w:val="22"/>
                <w:u w:val="none"/>
              </w:rPr>
            </w:pPr>
            <w:r>
              <w:rPr>
                <w:rFonts w:hint="eastAsia" w:ascii="方正黑体_GBK" w:hAnsi="方正黑体_GBK" w:eastAsia="方正黑体_GBK" w:cs="方正黑体_GBK"/>
                <w:b/>
                <w:bCs/>
                <w:i w:val="0"/>
                <w:iCs w:val="0"/>
                <w:snapToGrid w:val="0"/>
                <w:color w:val="000000"/>
                <w:kern w:val="0"/>
                <w:sz w:val="22"/>
                <w:szCs w:val="22"/>
                <w:u w:val="none"/>
                <w:lang w:val="en-US" w:eastAsia="zh-CN" w:bidi="ar"/>
              </w:rPr>
              <w:t>计价说明</w:t>
            </w:r>
          </w:p>
        </w:tc>
        <w:tc>
          <w:tcPr>
            <w:tcW w:w="331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eastAsia" w:ascii="方正黑体_GBK" w:hAnsi="方正黑体_GBK" w:eastAsia="方正黑体_GBK" w:cs="方正黑体_GBK"/>
                <w:b/>
                <w:bCs/>
                <w:i w:val="0"/>
                <w:iCs w:val="0"/>
                <w:snapToGrid w:val="0"/>
                <w:color w:val="000000"/>
                <w:kern w:val="0"/>
                <w:sz w:val="22"/>
                <w:szCs w:val="22"/>
                <w:u w:val="none"/>
                <w:lang w:val="en-US" w:eastAsia="zh-CN" w:bidi="ar"/>
              </w:rPr>
            </w:pPr>
            <w:r>
              <w:rPr>
                <w:rFonts w:hint="eastAsia" w:ascii="方正黑体_GBK" w:hAnsi="方正黑体_GBK" w:eastAsia="方正黑体_GBK" w:cs="方正黑体_GBK"/>
                <w:b/>
                <w:bCs/>
                <w:i w:val="0"/>
                <w:iCs w:val="0"/>
                <w:snapToGrid w:val="0"/>
                <w:color w:val="000000"/>
                <w:kern w:val="0"/>
                <w:sz w:val="22"/>
                <w:szCs w:val="22"/>
                <w:u w:val="none"/>
                <w:lang w:val="en-US" w:eastAsia="zh-CN" w:bidi="ar"/>
              </w:rPr>
              <w:t>价格标准（元）</w:t>
            </w:r>
          </w:p>
        </w:tc>
        <w:tc>
          <w:tcPr>
            <w:tcW w:w="722" w:type="dxa"/>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eastAsia" w:ascii="方正黑体_GBK" w:hAnsi="方正黑体_GBK" w:eastAsia="方正黑体_GBK" w:cs="方正黑体_GBK"/>
                <w:b/>
                <w:bCs/>
                <w:i w:val="0"/>
                <w:iCs w:val="0"/>
                <w:snapToGrid w:val="0"/>
                <w:color w:val="000000"/>
                <w:kern w:val="0"/>
                <w:sz w:val="22"/>
                <w:szCs w:val="22"/>
                <w:u w:val="none"/>
                <w:lang w:val="en-US" w:eastAsia="zh-CN" w:bidi="ar"/>
              </w:rPr>
            </w:pPr>
            <w:r>
              <w:rPr>
                <w:rFonts w:hint="eastAsia" w:ascii="方正黑体_GBK" w:hAnsi="方正黑体_GBK" w:eastAsia="方正黑体_GBK" w:cs="方正黑体_GBK"/>
                <w:b/>
                <w:bCs/>
                <w:i w:val="0"/>
                <w:iCs w:val="0"/>
                <w:snapToGrid w:val="0"/>
                <w:color w:val="000000"/>
                <w:kern w:val="0"/>
                <w:sz w:val="22"/>
                <w:szCs w:val="22"/>
                <w:u w:val="none"/>
                <w:lang w:val="en-US" w:eastAsia="zh-CN" w:bidi="ar"/>
              </w:rPr>
              <w:t>支付</w:t>
            </w:r>
          </w:p>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eastAsia" w:ascii="方正黑体_GBK" w:hAnsi="方正黑体_GBK" w:eastAsia="方正黑体_GBK" w:cs="方正黑体_GBK"/>
                <w:b/>
                <w:bCs/>
                <w:i w:val="0"/>
                <w:iCs w:val="0"/>
                <w:snapToGrid w:val="0"/>
                <w:color w:val="000000"/>
                <w:kern w:val="0"/>
                <w:sz w:val="22"/>
                <w:szCs w:val="22"/>
                <w:u w:val="none"/>
                <w:lang w:val="en-US" w:eastAsia="zh-CN" w:bidi="ar"/>
              </w:rPr>
            </w:pPr>
            <w:r>
              <w:rPr>
                <w:rFonts w:hint="eastAsia" w:ascii="方正黑体_GBK" w:hAnsi="方正黑体_GBK" w:eastAsia="方正黑体_GBK" w:cs="方正黑体_GBK"/>
                <w:b/>
                <w:bCs/>
                <w:i w:val="0"/>
                <w:iCs w:val="0"/>
                <w:snapToGrid w:val="0"/>
                <w:color w:val="000000"/>
                <w:kern w:val="0"/>
                <w:sz w:val="22"/>
                <w:szCs w:val="22"/>
                <w:u w:val="none"/>
                <w:lang w:val="en-US" w:eastAsia="zh-CN" w:bidi="ar"/>
              </w:rPr>
              <w:t>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5" w:hRule="atLeast"/>
          <w:tblHeader/>
          <w:jc w:val="center"/>
        </w:trPr>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rPr>
                <w:rFonts w:hint="eastAsia" w:ascii="方正黑体_GBK" w:hAnsi="方正黑体_GBK" w:eastAsia="方正黑体_GBK" w:cs="方正黑体_GBK"/>
                <w:b/>
                <w:bCs/>
                <w:i w:val="0"/>
                <w:iCs w:val="0"/>
                <w:color w:val="000000"/>
                <w:sz w:val="22"/>
                <w:szCs w:val="22"/>
                <w:u w:val="none"/>
              </w:rPr>
            </w:pPr>
          </w:p>
        </w:tc>
        <w:tc>
          <w:tcPr>
            <w:tcW w:w="114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rPr>
                <w:rFonts w:hint="eastAsia" w:ascii="方正黑体_GBK" w:hAnsi="方正黑体_GBK" w:eastAsia="方正黑体_GBK" w:cs="方正黑体_GBK"/>
                <w:b/>
                <w:bCs/>
                <w:i w:val="0"/>
                <w:iCs w:val="0"/>
                <w:color w:val="000000"/>
                <w:sz w:val="22"/>
                <w:szCs w:val="22"/>
                <w:u w:val="none"/>
              </w:rPr>
            </w:pPr>
          </w:p>
        </w:tc>
        <w:tc>
          <w:tcPr>
            <w:tcW w:w="20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rPr>
                <w:rFonts w:hint="eastAsia" w:ascii="方正黑体_GBK" w:hAnsi="方正黑体_GBK" w:eastAsia="方正黑体_GBK" w:cs="方正黑体_GBK"/>
                <w:b/>
                <w:bCs/>
                <w:i w:val="0"/>
                <w:iCs w:val="0"/>
                <w:color w:val="000000"/>
                <w:sz w:val="22"/>
                <w:szCs w:val="22"/>
                <w:u w:val="none"/>
              </w:rPr>
            </w:pPr>
          </w:p>
        </w:tc>
        <w:tc>
          <w:tcPr>
            <w:tcW w:w="34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rPr>
                <w:rFonts w:hint="eastAsia" w:ascii="方正黑体_GBK" w:hAnsi="方正黑体_GBK" w:eastAsia="方正黑体_GBK" w:cs="方正黑体_GBK"/>
                <w:b/>
                <w:bCs/>
                <w:i w:val="0"/>
                <w:iCs w:val="0"/>
                <w:color w:val="000000"/>
                <w:sz w:val="22"/>
                <w:szCs w:val="22"/>
                <w:u w:val="none"/>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rPr>
                <w:rFonts w:hint="eastAsia" w:ascii="方正黑体_GBK" w:hAnsi="方正黑体_GBK" w:eastAsia="方正黑体_GBK" w:cs="方正黑体_GBK"/>
                <w:b/>
                <w:bCs/>
                <w:i w:val="0"/>
                <w:iCs w:val="0"/>
                <w:color w:val="000000"/>
                <w:sz w:val="22"/>
                <w:szCs w:val="22"/>
                <w:u w:val="none"/>
              </w:rPr>
            </w:pPr>
          </w:p>
        </w:tc>
        <w:tc>
          <w:tcPr>
            <w:tcW w:w="7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rPr>
                <w:rFonts w:hint="eastAsia" w:ascii="方正黑体_GBK" w:hAnsi="方正黑体_GBK" w:eastAsia="方正黑体_GBK" w:cs="方正黑体_GBK"/>
                <w:b/>
                <w:bCs/>
                <w:i w:val="0"/>
                <w:iCs w:val="0"/>
                <w:color w:val="000000"/>
                <w:sz w:val="22"/>
                <w:szCs w:val="22"/>
                <w:u w:val="none"/>
              </w:rPr>
            </w:pPr>
          </w:p>
        </w:tc>
        <w:tc>
          <w:tcPr>
            <w:tcW w:w="222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center"/>
              <w:rPr>
                <w:rFonts w:hint="eastAsia" w:ascii="方正黑体_GBK" w:hAnsi="方正黑体_GBK" w:eastAsia="方正黑体_GBK" w:cs="方正黑体_GBK"/>
                <w:b/>
                <w:bCs/>
                <w:i w:val="0"/>
                <w:iCs w:val="0"/>
                <w:color w:val="000000"/>
                <w:sz w:val="22"/>
                <w:szCs w:val="22"/>
                <w:u w:val="none"/>
              </w:rPr>
            </w:pP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eastAsia" w:ascii="方正黑体_GBK" w:hAnsi="方正黑体_GBK" w:eastAsia="方正黑体_GBK" w:cs="方正黑体_GBK"/>
                <w:b/>
                <w:bCs/>
                <w:i w:val="0"/>
                <w:iCs w:val="0"/>
                <w:color w:val="000000"/>
                <w:sz w:val="22"/>
                <w:szCs w:val="22"/>
                <w:u w:val="none"/>
              </w:rPr>
            </w:pPr>
            <w:r>
              <w:rPr>
                <w:rFonts w:hint="eastAsia" w:ascii="方正黑体_GBK" w:hAnsi="方正黑体_GBK" w:eastAsia="方正黑体_GBK" w:cs="方正黑体_GBK"/>
                <w:b/>
                <w:bCs/>
                <w:i w:val="0"/>
                <w:iCs w:val="0"/>
                <w:snapToGrid w:val="0"/>
                <w:color w:val="000000"/>
                <w:kern w:val="0"/>
                <w:sz w:val="22"/>
                <w:szCs w:val="22"/>
                <w:u w:val="none"/>
                <w:lang w:val="en-US" w:eastAsia="zh-CN" w:bidi="ar"/>
              </w:rPr>
              <w:t>三甲</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eastAsia" w:ascii="方正黑体_GBK" w:hAnsi="方正黑体_GBK" w:eastAsia="方正黑体_GBK" w:cs="方正黑体_GBK"/>
                <w:b/>
                <w:bCs/>
                <w:i w:val="0"/>
                <w:iCs w:val="0"/>
                <w:color w:val="000000"/>
                <w:sz w:val="22"/>
                <w:szCs w:val="22"/>
                <w:u w:val="none"/>
              </w:rPr>
            </w:pPr>
            <w:r>
              <w:rPr>
                <w:rFonts w:hint="eastAsia" w:ascii="方正黑体_GBK" w:hAnsi="方正黑体_GBK" w:eastAsia="方正黑体_GBK" w:cs="方正黑体_GBK"/>
                <w:b/>
                <w:bCs/>
                <w:i w:val="0"/>
                <w:iCs w:val="0"/>
                <w:snapToGrid w:val="0"/>
                <w:color w:val="000000"/>
                <w:kern w:val="0"/>
                <w:sz w:val="22"/>
                <w:szCs w:val="22"/>
                <w:u w:val="none"/>
                <w:lang w:val="en-US" w:eastAsia="zh-CN" w:bidi="ar"/>
              </w:rPr>
              <w:t>三乙</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eastAsia" w:ascii="方正黑体_GBK" w:hAnsi="方正黑体_GBK" w:eastAsia="方正黑体_GBK" w:cs="方正黑体_GBK"/>
                <w:b/>
                <w:bCs/>
                <w:i w:val="0"/>
                <w:iCs w:val="0"/>
                <w:color w:val="000000"/>
                <w:sz w:val="22"/>
                <w:szCs w:val="22"/>
                <w:u w:val="none"/>
              </w:rPr>
            </w:pPr>
            <w:r>
              <w:rPr>
                <w:rFonts w:hint="eastAsia" w:ascii="方正黑体_GBK" w:hAnsi="方正黑体_GBK" w:eastAsia="方正黑体_GBK" w:cs="方正黑体_GBK"/>
                <w:b/>
                <w:bCs/>
                <w:i w:val="0"/>
                <w:iCs w:val="0"/>
                <w:snapToGrid w:val="0"/>
                <w:color w:val="000000"/>
                <w:kern w:val="0"/>
                <w:sz w:val="22"/>
                <w:szCs w:val="22"/>
                <w:u w:val="none"/>
                <w:lang w:val="en-US" w:eastAsia="zh-CN" w:bidi="ar"/>
              </w:rPr>
              <w:t>二甲</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eastAsia" w:ascii="方正黑体_GBK" w:hAnsi="方正黑体_GBK" w:eastAsia="方正黑体_GBK" w:cs="方正黑体_GBK"/>
                <w:b/>
                <w:bCs/>
                <w:i w:val="0"/>
                <w:iCs w:val="0"/>
                <w:color w:val="000000"/>
                <w:sz w:val="22"/>
                <w:szCs w:val="22"/>
                <w:u w:val="none"/>
              </w:rPr>
            </w:pPr>
            <w:r>
              <w:rPr>
                <w:rFonts w:hint="eastAsia" w:ascii="方正黑体_GBK" w:hAnsi="方正黑体_GBK" w:eastAsia="方正黑体_GBK" w:cs="方正黑体_GBK"/>
                <w:b/>
                <w:bCs/>
                <w:i w:val="0"/>
                <w:iCs w:val="0"/>
                <w:snapToGrid w:val="0"/>
                <w:color w:val="000000"/>
                <w:kern w:val="0"/>
                <w:sz w:val="22"/>
                <w:szCs w:val="22"/>
                <w:u w:val="none"/>
                <w:lang w:val="en-US" w:eastAsia="zh-CN" w:bidi="ar"/>
              </w:rPr>
              <w:t>二乙</w:t>
            </w:r>
          </w:p>
        </w:tc>
        <w:tc>
          <w:tcPr>
            <w:tcW w:w="72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eastAsia" w:ascii="方正黑体_GBK" w:hAnsi="方正黑体_GBK" w:eastAsia="方正黑体_GBK" w:cs="方正黑体_GBK"/>
                <w:b/>
                <w:bCs/>
                <w:i w:val="0"/>
                <w:iCs w:val="0"/>
                <w:color w:val="000000"/>
                <w:sz w:val="22"/>
                <w:szCs w:val="22"/>
                <w:u w:val="none"/>
              </w:rPr>
            </w:pPr>
            <w:r>
              <w:rPr>
                <w:rStyle w:val="6"/>
                <w:rFonts w:hint="eastAsia" w:ascii="方正黑体_GBK" w:hAnsi="方正黑体_GBK" w:eastAsia="方正黑体_GBK" w:cs="方正黑体_GBK"/>
                <w:b/>
                <w:bCs/>
                <w:snapToGrid w:val="0"/>
                <w:color w:val="000000"/>
                <w:sz w:val="22"/>
                <w:szCs w:val="22"/>
                <w:lang w:val="en-US" w:eastAsia="zh-CN" w:bidi="ar"/>
              </w:rPr>
              <w:t>二乙</w:t>
            </w:r>
            <w:r>
              <w:rPr>
                <w:rStyle w:val="7"/>
                <w:rFonts w:hint="eastAsia" w:ascii="方正黑体_GBK" w:hAnsi="方正黑体_GBK" w:eastAsia="方正黑体_GBK" w:cs="方正黑体_GBK"/>
                <w:b/>
                <w:bCs/>
                <w:snapToGrid w:val="0"/>
                <w:color w:val="000000"/>
                <w:sz w:val="22"/>
                <w:szCs w:val="22"/>
                <w:lang w:val="en-US" w:eastAsia="zh-CN" w:bidi="ar"/>
              </w:rPr>
              <w:br w:type="textWrapping"/>
            </w:r>
            <w:r>
              <w:rPr>
                <w:rStyle w:val="6"/>
                <w:rFonts w:hint="eastAsia" w:ascii="方正黑体_GBK" w:hAnsi="方正黑体_GBK" w:eastAsia="方正黑体_GBK" w:cs="方正黑体_GBK"/>
                <w:b/>
                <w:bCs/>
                <w:snapToGrid w:val="0"/>
                <w:color w:val="000000"/>
                <w:sz w:val="22"/>
                <w:szCs w:val="22"/>
                <w:lang w:val="en-US" w:eastAsia="zh-CN" w:bidi="ar"/>
              </w:rPr>
              <w:t>以下</w:t>
            </w:r>
          </w:p>
        </w:tc>
        <w:tc>
          <w:tcPr>
            <w:tcW w:w="72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Style w:val="6"/>
                <w:rFonts w:hint="eastAsia" w:ascii="方正黑体_GBK" w:hAnsi="方正黑体_GBK" w:eastAsia="方正黑体_GBK" w:cs="方正黑体_GBK"/>
                <w:b/>
                <w:bCs/>
                <w:snapToGrid w:val="0"/>
                <w:color w:val="000000"/>
                <w:sz w:val="22"/>
                <w:szCs w:val="22"/>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310523009</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种植牙冠修复置入费(连续冠桥修复)</w:t>
            </w:r>
          </w:p>
        </w:tc>
        <w:tc>
          <w:tcPr>
            <w:tcW w:w="3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snapToGrid w:val="0"/>
                <w:color w:val="000000"/>
                <w:kern w:val="0"/>
                <w:sz w:val="18"/>
                <w:szCs w:val="18"/>
                <w:u w:val="none"/>
                <w:lang w:val="en-US" w:eastAsia="zh-CN" w:bidi="ar"/>
              </w:rPr>
            </w:pPr>
            <w:r>
              <w:rPr>
                <w:rFonts w:hint="default" w:ascii="Times New Roman" w:hAnsi="Times New Roman" w:eastAsia="宋体" w:cs="Times New Roman"/>
                <w:b/>
                <w:bCs/>
                <w:i w:val="0"/>
                <w:iCs w:val="0"/>
                <w:snapToGrid w:val="0"/>
                <w:color w:val="000000"/>
                <w:kern w:val="0"/>
                <w:sz w:val="18"/>
                <w:szCs w:val="18"/>
                <w:u w:val="none"/>
                <w:lang w:val="en-US" w:eastAsia="zh-CN" w:bidi="ar"/>
              </w:rPr>
              <w:t>服务产出:实现种植体上部不超过一个象限的连续固定义齿的修复置入。</w:t>
            </w:r>
          </w:p>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价格构成:涵盖方案设计、印模制取、颌位确定、位置转移、模型制作、试排牙、戴入、调改、宣教等人力资源和基本物资消耗。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牙冠、种植体系统</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牙位</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01即刻修复置入加收30%;02临时冠修复置入减收30%</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1098</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1006</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915</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824</w:t>
            </w:r>
          </w:p>
        </w:tc>
        <w:tc>
          <w:tcPr>
            <w:tcW w:w="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732</w:t>
            </w:r>
          </w:p>
        </w:tc>
        <w:tc>
          <w:tcPr>
            <w:tcW w:w="7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snapToGrid w:val="0"/>
                <w:color w:val="000000"/>
                <w:kern w:val="0"/>
                <w:sz w:val="18"/>
                <w:szCs w:val="18"/>
                <w:u w:val="none"/>
                <w:lang w:val="en-US" w:eastAsia="zh-CN" w:bidi="ar"/>
              </w:rPr>
            </w:pPr>
            <w:r>
              <w:rPr>
                <w:rFonts w:hint="eastAsia" w:ascii="Times New Roman" w:hAnsi="Times New Roman" w:eastAsia="宋体" w:cs="Times New Roman"/>
                <w:b/>
                <w:bCs/>
                <w:i w:val="0"/>
                <w:iCs w:val="0"/>
                <w:snapToGrid w:val="0"/>
                <w:color w:val="000000"/>
                <w:kern w:val="0"/>
                <w:sz w:val="18"/>
                <w:szCs w:val="18"/>
                <w:u w:val="none"/>
                <w:lang w:val="en-US" w:eastAsia="zh-CN" w:bidi="ar"/>
              </w:rPr>
              <w:t>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0" w:hRule="atLeast"/>
          <w:jc w:val="center"/>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2</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310523009-1</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种植牙冠修复置入费(连续冠桥修复)-即刻修复置入(加收)</w:t>
            </w:r>
          </w:p>
        </w:tc>
        <w:tc>
          <w:tcPr>
            <w:tcW w:w="3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rPr>
                <w:rFonts w:hint="default" w:ascii="Times New Roman" w:hAnsi="Times New Roman" w:eastAsia="宋体" w:cs="Times New Roman"/>
                <w:b/>
                <w:bCs/>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rPr>
                <w:rFonts w:hint="default" w:ascii="Times New Roman" w:hAnsi="Times New Roman" w:eastAsia="宋体" w:cs="Times New Roman"/>
                <w:b/>
                <w:bCs/>
                <w:i w:val="0"/>
                <w:iCs w:val="0"/>
                <w:color w:val="000000"/>
                <w:sz w:val="18"/>
                <w:szCs w:val="18"/>
                <w:u w:val="none"/>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牙位</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rPr>
                <w:rFonts w:hint="default" w:ascii="Times New Roman" w:hAnsi="Times New Roman" w:eastAsia="宋体" w:cs="Times New Roman"/>
                <w:b/>
                <w:bCs/>
                <w:i w:val="0"/>
                <w:iCs w:val="0"/>
                <w:color w:val="000000"/>
                <w:sz w:val="18"/>
                <w:szCs w:val="18"/>
                <w:u w:val="none"/>
              </w:rPr>
            </w:pP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30%</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30%</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30%</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30%</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30%</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snapToGrid w:val="0"/>
                <w:color w:val="000000"/>
                <w:kern w:val="0"/>
                <w:sz w:val="18"/>
                <w:szCs w:val="18"/>
                <w:u w:val="none"/>
                <w:lang w:val="en-US" w:eastAsia="zh-CN" w:bidi="ar"/>
              </w:rPr>
            </w:pPr>
            <w:r>
              <w:rPr>
                <w:rFonts w:hint="eastAsia" w:ascii="Times New Roman" w:hAnsi="Times New Roman" w:eastAsia="宋体" w:cs="Times New Roman"/>
                <w:b/>
                <w:bCs/>
                <w:i w:val="0"/>
                <w:iCs w:val="0"/>
                <w:snapToGrid w:val="0"/>
                <w:color w:val="000000"/>
                <w:kern w:val="0"/>
                <w:sz w:val="18"/>
                <w:szCs w:val="18"/>
                <w:u w:val="none"/>
                <w:lang w:val="en-US" w:eastAsia="zh-CN" w:bidi="ar"/>
              </w:rPr>
              <w:t>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310523009-2</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种植牙冠修复置入费(连续冠桥修复)-临时冠修复置入(减收)</w:t>
            </w:r>
          </w:p>
        </w:tc>
        <w:tc>
          <w:tcPr>
            <w:tcW w:w="3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rPr>
                <w:rFonts w:hint="default" w:ascii="Times New Roman" w:hAnsi="Times New Roman" w:eastAsia="宋体" w:cs="Times New Roman"/>
                <w:b/>
                <w:bCs/>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rPr>
                <w:rFonts w:hint="default" w:ascii="Times New Roman" w:hAnsi="Times New Roman" w:eastAsia="宋体" w:cs="Times New Roman"/>
                <w:b/>
                <w:bCs/>
                <w:i w:val="0"/>
                <w:iCs w:val="0"/>
                <w:color w:val="000000"/>
                <w:sz w:val="18"/>
                <w:szCs w:val="18"/>
                <w:u w:val="none"/>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牙位</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rPr>
                <w:rFonts w:hint="default" w:ascii="Times New Roman" w:hAnsi="Times New Roman" w:eastAsia="宋体" w:cs="Times New Roman"/>
                <w:b/>
                <w:bCs/>
                <w:i w:val="0"/>
                <w:iCs w:val="0"/>
                <w:color w:val="000000"/>
                <w:sz w:val="18"/>
                <w:szCs w:val="18"/>
                <w:u w:val="none"/>
              </w:rPr>
            </w:pP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30%</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30%</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30%</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30%</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30%</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snapToGrid w:val="0"/>
                <w:color w:val="000000"/>
                <w:kern w:val="0"/>
                <w:sz w:val="18"/>
                <w:szCs w:val="18"/>
                <w:u w:val="none"/>
                <w:lang w:val="en-US" w:eastAsia="zh-CN" w:bidi="ar"/>
              </w:rPr>
            </w:pPr>
            <w:r>
              <w:rPr>
                <w:rFonts w:hint="eastAsia" w:ascii="Times New Roman" w:hAnsi="Times New Roman" w:eastAsia="宋体" w:cs="Times New Roman"/>
                <w:b/>
                <w:bCs/>
                <w:i w:val="0"/>
                <w:iCs w:val="0"/>
                <w:snapToGrid w:val="0"/>
                <w:color w:val="000000"/>
                <w:kern w:val="0"/>
                <w:sz w:val="18"/>
                <w:szCs w:val="18"/>
                <w:u w:val="none"/>
                <w:lang w:val="en-US" w:eastAsia="zh-CN" w:bidi="ar"/>
              </w:rPr>
              <w:t>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0" w:hRule="atLeast"/>
          <w:jc w:val="center"/>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4</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330609016</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口腔内植骨费</w:t>
            </w:r>
            <w:r>
              <w:rPr>
                <w:rFonts w:hint="default" w:ascii="Times New Roman" w:hAnsi="Times New Roman" w:eastAsia="宋体" w:cs="Times New Roman"/>
                <w:b/>
                <w:bCs/>
                <w:i w:val="0"/>
                <w:iCs w:val="0"/>
                <w:snapToGrid w:val="0"/>
                <w:color w:val="000000"/>
                <w:kern w:val="0"/>
                <w:sz w:val="18"/>
                <w:szCs w:val="18"/>
                <w:u w:val="none"/>
                <w:lang w:val="en-US" w:eastAsia="zh-CN" w:bidi="ar"/>
              </w:rPr>
              <w:br w:type="textWrapping"/>
            </w:r>
            <w:r>
              <w:rPr>
                <w:rFonts w:hint="default" w:ascii="Times New Roman" w:hAnsi="Times New Roman" w:eastAsia="宋体" w:cs="Times New Roman"/>
                <w:b/>
                <w:bCs/>
                <w:i w:val="0"/>
                <w:iCs w:val="0"/>
                <w:snapToGrid w:val="0"/>
                <w:color w:val="000000"/>
                <w:kern w:val="0"/>
                <w:sz w:val="18"/>
                <w:szCs w:val="18"/>
                <w:u w:val="none"/>
                <w:lang w:val="en-US" w:eastAsia="zh-CN" w:bidi="ar"/>
              </w:rPr>
              <w:t>(简单)</w:t>
            </w:r>
          </w:p>
        </w:tc>
        <w:tc>
          <w:tcPr>
            <w:tcW w:w="3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snapToGrid w:val="0"/>
                <w:color w:val="000000"/>
                <w:kern w:val="0"/>
                <w:sz w:val="18"/>
                <w:szCs w:val="18"/>
                <w:u w:val="none"/>
                <w:lang w:val="en-US" w:eastAsia="zh-CN" w:bidi="ar"/>
              </w:rPr>
            </w:pPr>
            <w:r>
              <w:rPr>
                <w:rFonts w:hint="default" w:ascii="Times New Roman" w:hAnsi="Times New Roman" w:eastAsia="宋体" w:cs="Times New Roman"/>
                <w:b/>
                <w:bCs/>
                <w:i w:val="0"/>
                <w:iCs w:val="0"/>
                <w:snapToGrid w:val="0"/>
                <w:color w:val="000000"/>
                <w:kern w:val="0"/>
                <w:sz w:val="18"/>
                <w:szCs w:val="18"/>
                <w:u w:val="none"/>
                <w:lang w:val="en-US" w:eastAsia="zh-CN" w:bidi="ar"/>
              </w:rPr>
              <w:t>服务产出:通过手术方式,对轻度牙槽嵴萎缩骨量增加,达到可种植条件。</w:t>
            </w:r>
          </w:p>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价格构成:涵盖方案设计、术前准备、手术入路,组织切开,植骨,关闭缝合受植区等手术步骤及术后复查处置等人力资源和基本物资消耗。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骨代用品和引导组织再生膜</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牙位</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与种植体同时植入,上颌窦底剩余牙槽嵴高度≥5mm</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1002</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918</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835</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752</w:t>
            </w:r>
          </w:p>
        </w:tc>
        <w:tc>
          <w:tcPr>
            <w:tcW w:w="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668</w:t>
            </w:r>
          </w:p>
        </w:tc>
        <w:tc>
          <w:tcPr>
            <w:tcW w:w="7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snapToGrid w:val="0"/>
                <w:color w:val="000000"/>
                <w:kern w:val="0"/>
                <w:sz w:val="18"/>
                <w:szCs w:val="18"/>
                <w:u w:val="none"/>
                <w:lang w:val="en-US" w:eastAsia="zh-CN" w:bidi="ar"/>
              </w:rPr>
            </w:pPr>
            <w:r>
              <w:rPr>
                <w:rFonts w:hint="eastAsia" w:ascii="Times New Roman" w:hAnsi="Times New Roman" w:eastAsia="宋体" w:cs="Times New Roman"/>
                <w:b/>
                <w:bCs/>
                <w:i w:val="0"/>
                <w:iCs w:val="0"/>
                <w:snapToGrid w:val="0"/>
                <w:color w:val="000000"/>
                <w:kern w:val="0"/>
                <w:sz w:val="18"/>
                <w:szCs w:val="18"/>
                <w:u w:val="none"/>
                <w:lang w:val="en-US" w:eastAsia="zh-CN" w:bidi="ar"/>
              </w:rPr>
              <w:t>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0" w:hRule="atLeast"/>
          <w:jc w:val="center"/>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5</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330609017</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口腔内植骨费</w:t>
            </w:r>
            <w:r>
              <w:rPr>
                <w:rFonts w:hint="default" w:ascii="Times New Roman" w:hAnsi="Times New Roman" w:eastAsia="宋体" w:cs="Times New Roman"/>
                <w:b/>
                <w:bCs/>
                <w:i w:val="0"/>
                <w:iCs w:val="0"/>
                <w:snapToGrid w:val="0"/>
                <w:color w:val="000000"/>
                <w:kern w:val="0"/>
                <w:sz w:val="18"/>
                <w:szCs w:val="18"/>
                <w:u w:val="none"/>
                <w:lang w:val="en-US" w:eastAsia="zh-CN" w:bidi="ar"/>
              </w:rPr>
              <w:br w:type="textWrapping"/>
            </w:r>
            <w:r>
              <w:rPr>
                <w:rFonts w:hint="default" w:ascii="Times New Roman" w:hAnsi="Times New Roman" w:eastAsia="宋体" w:cs="Times New Roman"/>
                <w:b/>
                <w:bCs/>
                <w:i w:val="0"/>
                <w:iCs w:val="0"/>
                <w:snapToGrid w:val="0"/>
                <w:color w:val="000000"/>
                <w:kern w:val="0"/>
                <w:sz w:val="18"/>
                <w:szCs w:val="18"/>
                <w:u w:val="none"/>
                <w:lang w:val="en-US" w:eastAsia="zh-CN" w:bidi="ar"/>
              </w:rPr>
              <w:t>(一般)</w:t>
            </w:r>
          </w:p>
        </w:tc>
        <w:tc>
          <w:tcPr>
            <w:tcW w:w="3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snapToGrid w:val="0"/>
                <w:color w:val="000000"/>
                <w:kern w:val="0"/>
                <w:sz w:val="18"/>
                <w:szCs w:val="18"/>
                <w:u w:val="none"/>
                <w:lang w:val="en-US" w:eastAsia="zh-CN" w:bidi="ar"/>
              </w:rPr>
            </w:pPr>
            <w:r>
              <w:rPr>
                <w:rFonts w:hint="default" w:ascii="Times New Roman" w:hAnsi="Times New Roman" w:eastAsia="宋体" w:cs="Times New Roman"/>
                <w:b/>
                <w:bCs/>
                <w:i w:val="0"/>
                <w:iCs w:val="0"/>
                <w:snapToGrid w:val="0"/>
                <w:color w:val="000000"/>
                <w:kern w:val="0"/>
                <w:sz w:val="18"/>
                <w:szCs w:val="18"/>
                <w:u w:val="none"/>
                <w:lang w:val="en-US" w:eastAsia="zh-CN" w:bidi="ar"/>
              </w:rPr>
              <w:t>服务产出:通过手术方式,对中度牙槽嵴萎缩骨量增加,达到可种植条件。</w:t>
            </w:r>
          </w:p>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价格构成:涵盖方案设计、术前准备、手术入路,组织切开,骨劈开/骨挤压,植骨,关闭缝合受植区等手术步骤及术后复查处置等人力资源和基本物资消耗。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螺钉、骨代用品和引导组织再生膜</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牙位</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不与种植体同时植入,局限于水平骨缺损,上颌窦底剩余牙槽嵴高度&lt;5mm</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1684</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1543</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1403</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1262</w:t>
            </w:r>
          </w:p>
        </w:tc>
        <w:tc>
          <w:tcPr>
            <w:tcW w:w="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1123</w:t>
            </w:r>
          </w:p>
        </w:tc>
        <w:tc>
          <w:tcPr>
            <w:tcW w:w="7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snapToGrid w:val="0"/>
                <w:color w:val="000000"/>
                <w:kern w:val="0"/>
                <w:sz w:val="18"/>
                <w:szCs w:val="18"/>
                <w:u w:val="none"/>
                <w:lang w:val="en-US" w:eastAsia="zh-CN" w:bidi="ar"/>
              </w:rPr>
            </w:pPr>
            <w:r>
              <w:rPr>
                <w:rFonts w:hint="eastAsia" w:ascii="Times New Roman" w:hAnsi="Times New Roman" w:eastAsia="宋体" w:cs="Times New Roman"/>
                <w:b/>
                <w:bCs/>
                <w:i w:val="0"/>
                <w:iCs w:val="0"/>
                <w:snapToGrid w:val="0"/>
                <w:color w:val="000000"/>
                <w:kern w:val="0"/>
                <w:sz w:val="18"/>
                <w:szCs w:val="18"/>
                <w:u w:val="none"/>
                <w:lang w:val="en-US" w:eastAsia="zh-CN" w:bidi="ar"/>
              </w:rPr>
              <w:t>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6</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330609018</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口腔内植骨费</w:t>
            </w:r>
            <w:r>
              <w:rPr>
                <w:rFonts w:hint="default" w:ascii="Times New Roman" w:hAnsi="Times New Roman" w:eastAsia="宋体" w:cs="Times New Roman"/>
                <w:b/>
                <w:bCs/>
                <w:i w:val="0"/>
                <w:iCs w:val="0"/>
                <w:snapToGrid w:val="0"/>
                <w:color w:val="000000"/>
                <w:kern w:val="0"/>
                <w:sz w:val="18"/>
                <w:szCs w:val="18"/>
                <w:u w:val="none"/>
                <w:lang w:val="en-US" w:eastAsia="zh-CN" w:bidi="ar"/>
              </w:rPr>
              <w:br w:type="textWrapping"/>
            </w:r>
            <w:r>
              <w:rPr>
                <w:rFonts w:hint="default" w:ascii="Times New Roman" w:hAnsi="Times New Roman" w:eastAsia="宋体" w:cs="Times New Roman"/>
                <w:b/>
                <w:bCs/>
                <w:i w:val="0"/>
                <w:iCs w:val="0"/>
                <w:snapToGrid w:val="0"/>
                <w:color w:val="000000"/>
                <w:kern w:val="0"/>
                <w:sz w:val="18"/>
                <w:szCs w:val="18"/>
                <w:u w:val="none"/>
                <w:lang w:val="en-US" w:eastAsia="zh-CN" w:bidi="ar"/>
              </w:rPr>
              <w:t>(复杂)</w:t>
            </w:r>
          </w:p>
        </w:tc>
        <w:tc>
          <w:tcPr>
            <w:tcW w:w="3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snapToGrid w:val="0"/>
                <w:color w:val="000000"/>
                <w:kern w:val="0"/>
                <w:sz w:val="18"/>
                <w:szCs w:val="18"/>
                <w:u w:val="none"/>
                <w:lang w:val="en-US" w:eastAsia="zh-CN" w:bidi="ar"/>
              </w:rPr>
            </w:pPr>
            <w:r>
              <w:rPr>
                <w:rFonts w:hint="default" w:ascii="Times New Roman" w:hAnsi="Times New Roman" w:eastAsia="宋体" w:cs="Times New Roman"/>
                <w:b/>
                <w:bCs/>
                <w:i w:val="0"/>
                <w:iCs w:val="0"/>
                <w:snapToGrid w:val="0"/>
                <w:color w:val="000000"/>
                <w:kern w:val="0"/>
                <w:sz w:val="18"/>
                <w:szCs w:val="18"/>
                <w:u w:val="none"/>
                <w:lang w:val="en-US" w:eastAsia="zh-CN" w:bidi="ar"/>
              </w:rPr>
              <w:t>服务产出:通过手术方式,对重度牙槽嵴萎缩或上颌窦底骨量增加,达到可种植条件。</w:t>
            </w:r>
          </w:p>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价格构成:涵盖方案设计、术前准备、手术入路,组织切开,自体骨移植、植骨,关闭缝合受植区等手术步骤及术后复查处置等人力资源和基本物资消耗。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螺钉、钛网、骨代用品和引导组织再生膜</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牙位</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不与种植体同时植入,需做垂直骨增量;上颌窦底剩余牙槽嵴高度&lt;5mm,同时伴有囊肿、纵膈或异物。01上颌窦囊肿摘除加收25%;02口腔以外其他部位取骨加收40%</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2469</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2264</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2058</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1852</w:t>
            </w:r>
          </w:p>
        </w:tc>
        <w:tc>
          <w:tcPr>
            <w:tcW w:w="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1647</w:t>
            </w:r>
          </w:p>
        </w:tc>
        <w:tc>
          <w:tcPr>
            <w:tcW w:w="7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snapToGrid w:val="0"/>
                <w:color w:val="000000"/>
                <w:kern w:val="0"/>
                <w:sz w:val="18"/>
                <w:szCs w:val="18"/>
                <w:u w:val="none"/>
                <w:lang w:val="en-US" w:eastAsia="zh-CN" w:bidi="ar"/>
              </w:rPr>
            </w:pPr>
            <w:r>
              <w:rPr>
                <w:rFonts w:hint="eastAsia" w:ascii="Times New Roman" w:hAnsi="Times New Roman" w:eastAsia="宋体" w:cs="Times New Roman"/>
                <w:b/>
                <w:bCs/>
                <w:i w:val="0"/>
                <w:iCs w:val="0"/>
                <w:snapToGrid w:val="0"/>
                <w:color w:val="000000"/>
                <w:kern w:val="0"/>
                <w:sz w:val="18"/>
                <w:szCs w:val="18"/>
                <w:u w:val="none"/>
                <w:lang w:val="en-US" w:eastAsia="zh-CN" w:bidi="ar"/>
              </w:rPr>
              <w:t>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5" w:hRule="atLeast"/>
          <w:jc w:val="center"/>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7</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330609018-1</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口腔内植骨费(复杂)-上颌窦囊肿摘除(加收)</w:t>
            </w:r>
          </w:p>
        </w:tc>
        <w:tc>
          <w:tcPr>
            <w:tcW w:w="3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rPr>
                <w:rFonts w:hint="default" w:ascii="Times New Roman" w:hAnsi="Times New Roman" w:eastAsia="宋体" w:cs="Times New Roman"/>
                <w:b/>
                <w:bCs/>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rPr>
                <w:rFonts w:hint="default" w:ascii="Times New Roman" w:hAnsi="Times New Roman" w:eastAsia="宋体" w:cs="Times New Roman"/>
                <w:b/>
                <w:bCs/>
                <w:i w:val="0"/>
                <w:iCs w:val="0"/>
                <w:color w:val="000000"/>
                <w:sz w:val="18"/>
                <w:szCs w:val="18"/>
                <w:u w:val="none"/>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牙位</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rPr>
                <w:rFonts w:hint="default" w:ascii="Times New Roman" w:hAnsi="Times New Roman" w:eastAsia="宋体" w:cs="Times New Roman"/>
                <w:b/>
                <w:bCs/>
                <w:i w:val="0"/>
                <w:iCs w:val="0"/>
                <w:color w:val="000000"/>
                <w:sz w:val="18"/>
                <w:szCs w:val="18"/>
                <w:u w:val="none"/>
              </w:rPr>
            </w:pP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25%</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25%</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25%</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25%</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25%</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snapToGrid w:val="0"/>
                <w:color w:val="000000"/>
                <w:kern w:val="0"/>
                <w:sz w:val="18"/>
                <w:szCs w:val="18"/>
                <w:u w:val="none"/>
                <w:lang w:val="en-US" w:eastAsia="zh-CN" w:bidi="ar"/>
              </w:rPr>
            </w:pPr>
            <w:r>
              <w:rPr>
                <w:rFonts w:hint="eastAsia" w:ascii="Times New Roman" w:hAnsi="Times New Roman" w:eastAsia="宋体" w:cs="Times New Roman"/>
                <w:b/>
                <w:bCs/>
                <w:i w:val="0"/>
                <w:iCs w:val="0"/>
                <w:snapToGrid w:val="0"/>
                <w:color w:val="000000"/>
                <w:kern w:val="0"/>
                <w:sz w:val="18"/>
                <w:szCs w:val="18"/>
                <w:u w:val="none"/>
                <w:lang w:val="en-US" w:eastAsia="zh-CN" w:bidi="ar"/>
              </w:rPr>
              <w:t>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jc w:val="center"/>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8</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330609018-2</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口腔内植骨费(复杂)-口腔以外其他部位取骨(加收)</w:t>
            </w:r>
          </w:p>
        </w:tc>
        <w:tc>
          <w:tcPr>
            <w:tcW w:w="3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rPr>
                <w:rFonts w:hint="default" w:ascii="Times New Roman" w:hAnsi="Times New Roman" w:eastAsia="宋体" w:cs="Times New Roman"/>
                <w:b/>
                <w:bCs/>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rPr>
                <w:rFonts w:hint="default" w:ascii="Times New Roman" w:hAnsi="Times New Roman" w:eastAsia="宋体" w:cs="Times New Roman"/>
                <w:b/>
                <w:bCs/>
                <w:i w:val="0"/>
                <w:iCs w:val="0"/>
                <w:color w:val="000000"/>
                <w:sz w:val="18"/>
                <w:szCs w:val="18"/>
                <w:u w:val="none"/>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牙位</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rPr>
                <w:rFonts w:hint="default" w:ascii="Times New Roman" w:hAnsi="Times New Roman" w:eastAsia="宋体" w:cs="Times New Roman"/>
                <w:b/>
                <w:bCs/>
                <w:i w:val="0"/>
                <w:iCs w:val="0"/>
                <w:color w:val="000000"/>
                <w:sz w:val="18"/>
                <w:szCs w:val="18"/>
                <w:u w:val="none"/>
              </w:rPr>
            </w:pP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40%</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40%</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40%</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40%</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40%</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snapToGrid w:val="0"/>
                <w:color w:val="000000"/>
                <w:kern w:val="0"/>
                <w:sz w:val="18"/>
                <w:szCs w:val="18"/>
                <w:u w:val="none"/>
                <w:lang w:val="en-US" w:eastAsia="zh-CN" w:bidi="ar"/>
              </w:rPr>
            </w:pPr>
            <w:r>
              <w:rPr>
                <w:rFonts w:hint="eastAsia" w:ascii="Times New Roman" w:hAnsi="Times New Roman" w:eastAsia="宋体" w:cs="Times New Roman"/>
                <w:b/>
                <w:bCs/>
                <w:i w:val="0"/>
                <w:iCs w:val="0"/>
                <w:snapToGrid w:val="0"/>
                <w:color w:val="000000"/>
                <w:kern w:val="0"/>
                <w:sz w:val="18"/>
                <w:szCs w:val="18"/>
                <w:u w:val="none"/>
                <w:lang w:val="en-US" w:eastAsia="zh-CN" w:bidi="ar"/>
              </w:rPr>
              <w:t>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5" w:hRule="atLeast"/>
          <w:jc w:val="center"/>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9</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330609019</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种植体周软组</w:t>
            </w:r>
            <w:r>
              <w:rPr>
                <w:rFonts w:hint="default" w:ascii="Times New Roman" w:hAnsi="Times New Roman" w:eastAsia="宋体" w:cs="Times New Roman"/>
                <w:b/>
                <w:bCs/>
                <w:i w:val="0"/>
                <w:iCs w:val="0"/>
                <w:snapToGrid w:val="0"/>
                <w:color w:val="000000"/>
                <w:kern w:val="0"/>
                <w:sz w:val="18"/>
                <w:szCs w:val="18"/>
                <w:u w:val="none"/>
                <w:lang w:val="en-US" w:eastAsia="zh-CN" w:bidi="ar"/>
              </w:rPr>
              <w:br w:type="textWrapping"/>
            </w:r>
            <w:r>
              <w:rPr>
                <w:rFonts w:hint="default" w:ascii="Times New Roman" w:hAnsi="Times New Roman" w:eastAsia="宋体" w:cs="Times New Roman"/>
                <w:b/>
                <w:bCs/>
                <w:i w:val="0"/>
                <w:iCs w:val="0"/>
                <w:snapToGrid w:val="0"/>
                <w:color w:val="000000"/>
                <w:kern w:val="0"/>
                <w:sz w:val="18"/>
                <w:szCs w:val="18"/>
                <w:u w:val="none"/>
                <w:lang w:val="en-US" w:eastAsia="zh-CN" w:bidi="ar"/>
              </w:rPr>
              <w:t>织移植费</w:t>
            </w:r>
          </w:p>
        </w:tc>
        <w:tc>
          <w:tcPr>
            <w:tcW w:w="3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snapToGrid w:val="0"/>
                <w:color w:val="000000"/>
                <w:kern w:val="0"/>
                <w:sz w:val="18"/>
                <w:szCs w:val="18"/>
                <w:u w:val="none"/>
                <w:lang w:val="en-US" w:eastAsia="zh-CN" w:bidi="ar"/>
              </w:rPr>
            </w:pPr>
            <w:r>
              <w:rPr>
                <w:rFonts w:hint="default" w:ascii="Times New Roman" w:hAnsi="Times New Roman" w:eastAsia="宋体" w:cs="Times New Roman"/>
                <w:b/>
                <w:bCs/>
                <w:i w:val="0"/>
                <w:iCs w:val="0"/>
                <w:snapToGrid w:val="0"/>
                <w:color w:val="000000"/>
                <w:kern w:val="0"/>
                <w:sz w:val="18"/>
                <w:szCs w:val="18"/>
                <w:u w:val="none"/>
                <w:lang w:val="en-US" w:eastAsia="zh-CN" w:bidi="ar"/>
              </w:rPr>
              <w:t>服务产出:通过局部软组织移植,改善治疗部位及周围软组织状况,达到治疗所需软组织条件。</w:t>
            </w:r>
          </w:p>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价格构成:涵盖方案设计、术前准备、切开、翻瓣、供软组织制备、组织固定、缝合及处置等手术步骤人力资源和基本物资消耗。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引导组织再生膜</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牙位</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rPr>
                <w:rFonts w:hint="default" w:ascii="Times New Roman" w:hAnsi="Times New Roman" w:eastAsia="宋体" w:cs="Times New Roman"/>
                <w:b/>
                <w:bCs/>
                <w:i w:val="0"/>
                <w:iCs w:val="0"/>
                <w:color w:val="000000"/>
                <w:sz w:val="18"/>
                <w:szCs w:val="18"/>
                <w:u w:val="none"/>
              </w:rPr>
            </w:pP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1493</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1368</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1244</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1120</w:t>
            </w:r>
          </w:p>
        </w:tc>
        <w:tc>
          <w:tcPr>
            <w:tcW w:w="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995</w:t>
            </w:r>
          </w:p>
        </w:tc>
        <w:tc>
          <w:tcPr>
            <w:tcW w:w="7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snapToGrid w:val="0"/>
                <w:color w:val="000000"/>
                <w:kern w:val="0"/>
                <w:sz w:val="18"/>
                <w:szCs w:val="18"/>
                <w:u w:val="none"/>
                <w:lang w:val="en-US" w:eastAsia="zh-CN" w:bidi="ar"/>
              </w:rPr>
            </w:pPr>
            <w:r>
              <w:rPr>
                <w:rFonts w:hint="eastAsia" w:ascii="Times New Roman" w:hAnsi="Times New Roman" w:eastAsia="宋体" w:cs="Times New Roman"/>
                <w:b/>
                <w:bCs/>
                <w:i w:val="0"/>
                <w:iCs w:val="0"/>
                <w:snapToGrid w:val="0"/>
                <w:color w:val="000000"/>
                <w:kern w:val="0"/>
                <w:sz w:val="18"/>
                <w:szCs w:val="18"/>
                <w:u w:val="none"/>
                <w:lang w:val="en-US" w:eastAsia="zh-CN" w:bidi="ar"/>
              </w:rPr>
              <w:t>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5" w:hRule="atLeast"/>
          <w:jc w:val="center"/>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10</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330609020</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种植体取出费</w:t>
            </w:r>
          </w:p>
        </w:tc>
        <w:tc>
          <w:tcPr>
            <w:tcW w:w="3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snapToGrid w:val="0"/>
                <w:color w:val="000000"/>
                <w:kern w:val="0"/>
                <w:sz w:val="18"/>
                <w:szCs w:val="18"/>
                <w:u w:val="none"/>
                <w:lang w:val="en-US" w:eastAsia="zh-CN" w:bidi="ar"/>
              </w:rPr>
            </w:pPr>
            <w:r>
              <w:rPr>
                <w:rFonts w:hint="default" w:ascii="Times New Roman" w:hAnsi="Times New Roman" w:eastAsia="宋体" w:cs="Times New Roman"/>
                <w:b/>
                <w:bCs/>
                <w:i w:val="0"/>
                <w:iCs w:val="0"/>
                <w:snapToGrid w:val="0"/>
                <w:color w:val="000000"/>
                <w:kern w:val="0"/>
                <w:sz w:val="18"/>
                <w:szCs w:val="18"/>
                <w:u w:val="none"/>
                <w:lang w:val="en-US" w:eastAsia="zh-CN" w:bidi="ar"/>
              </w:rPr>
              <w:t>服务产出:拆除患者口腔内已植入且无法继续使用的种植体。</w:t>
            </w:r>
          </w:p>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价格构成:涵盖种植体拆除操作步骤的人力资源和基本物资消耗。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rPr>
                <w:rFonts w:hint="default" w:ascii="Times New Roman" w:hAnsi="Times New Roman" w:eastAsia="宋体" w:cs="Times New Roman"/>
                <w:b/>
                <w:bCs/>
                <w:i w:val="0"/>
                <w:iCs w:val="0"/>
                <w:color w:val="000000"/>
                <w:sz w:val="18"/>
                <w:szCs w:val="18"/>
                <w:u w:val="none"/>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牙位</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rPr>
                <w:rFonts w:hint="default" w:ascii="Times New Roman" w:hAnsi="Times New Roman" w:eastAsia="宋体" w:cs="Times New Roman"/>
                <w:b/>
                <w:bCs/>
                <w:i w:val="0"/>
                <w:iCs w:val="0"/>
                <w:color w:val="000000"/>
                <w:sz w:val="18"/>
                <w:szCs w:val="18"/>
                <w:u w:val="none"/>
              </w:rPr>
            </w:pP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1026</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941</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855</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770</w:t>
            </w:r>
          </w:p>
        </w:tc>
        <w:tc>
          <w:tcPr>
            <w:tcW w:w="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684</w:t>
            </w:r>
          </w:p>
        </w:tc>
        <w:tc>
          <w:tcPr>
            <w:tcW w:w="7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snapToGrid w:val="0"/>
                <w:color w:val="000000"/>
                <w:kern w:val="0"/>
                <w:sz w:val="18"/>
                <w:szCs w:val="18"/>
                <w:u w:val="none"/>
                <w:lang w:val="en-US" w:eastAsia="zh-CN" w:bidi="ar"/>
              </w:rPr>
            </w:pPr>
            <w:r>
              <w:rPr>
                <w:rFonts w:hint="eastAsia" w:ascii="Times New Roman" w:hAnsi="Times New Roman" w:eastAsia="宋体" w:cs="Times New Roman"/>
                <w:b/>
                <w:bCs/>
                <w:i w:val="0"/>
                <w:iCs w:val="0"/>
                <w:snapToGrid w:val="0"/>
                <w:color w:val="000000"/>
                <w:kern w:val="0"/>
                <w:sz w:val="18"/>
                <w:szCs w:val="18"/>
                <w:u w:val="none"/>
                <w:lang w:val="en-US" w:eastAsia="zh-CN" w:bidi="ar"/>
              </w:rPr>
              <w:t>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5" w:hRule="atLeast"/>
          <w:jc w:val="center"/>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11</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310523012</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种植牙冠修理费</w:t>
            </w:r>
          </w:p>
        </w:tc>
        <w:tc>
          <w:tcPr>
            <w:tcW w:w="3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snapToGrid w:val="0"/>
                <w:color w:val="000000"/>
                <w:kern w:val="0"/>
                <w:sz w:val="18"/>
                <w:szCs w:val="18"/>
                <w:u w:val="none"/>
                <w:lang w:val="en-US" w:eastAsia="zh-CN" w:bidi="ar"/>
              </w:rPr>
            </w:pPr>
            <w:r>
              <w:rPr>
                <w:rFonts w:hint="default" w:ascii="Times New Roman" w:hAnsi="Times New Roman" w:eastAsia="宋体" w:cs="Times New Roman"/>
                <w:b/>
                <w:bCs/>
                <w:i w:val="0"/>
                <w:iCs w:val="0"/>
                <w:snapToGrid w:val="0"/>
                <w:color w:val="000000"/>
                <w:kern w:val="0"/>
                <w:sz w:val="18"/>
                <w:szCs w:val="18"/>
                <w:u w:val="none"/>
                <w:lang w:val="en-US" w:eastAsia="zh-CN" w:bidi="ar"/>
              </w:rPr>
              <w:t>服务产出:对产品保质保修条件外,种植牙冠脱落、崩瓷、嵌食、断裂等机械性或器质性损坏进行修理,恢复正常使用。</w:t>
            </w:r>
          </w:p>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价格构成:涵盖种植修复置入体的检查、拆卸、修补、置入等人力资源和基本物资消耗。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rPr>
                <w:rFonts w:hint="default" w:ascii="Times New Roman" w:hAnsi="Times New Roman" w:eastAsia="宋体" w:cs="Times New Roman"/>
                <w:b/>
                <w:bCs/>
                <w:i w:val="0"/>
                <w:iCs w:val="0"/>
                <w:color w:val="000000"/>
                <w:sz w:val="18"/>
                <w:szCs w:val="18"/>
                <w:u w:val="none"/>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牙位</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rPr>
                <w:rFonts w:hint="default" w:ascii="Times New Roman" w:hAnsi="Times New Roman" w:eastAsia="宋体" w:cs="Times New Roman"/>
                <w:b/>
                <w:bCs/>
                <w:i w:val="0"/>
                <w:iCs w:val="0"/>
                <w:color w:val="000000"/>
                <w:sz w:val="18"/>
                <w:szCs w:val="18"/>
                <w:u w:val="none"/>
              </w:rPr>
            </w:pP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828</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759</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690</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621</w:t>
            </w:r>
          </w:p>
        </w:tc>
        <w:tc>
          <w:tcPr>
            <w:tcW w:w="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552</w:t>
            </w:r>
          </w:p>
        </w:tc>
        <w:tc>
          <w:tcPr>
            <w:tcW w:w="7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snapToGrid w:val="0"/>
                <w:color w:val="000000"/>
                <w:kern w:val="0"/>
                <w:sz w:val="18"/>
                <w:szCs w:val="18"/>
                <w:u w:val="none"/>
                <w:lang w:val="en-US" w:eastAsia="zh-CN" w:bidi="ar"/>
              </w:rPr>
            </w:pPr>
            <w:r>
              <w:rPr>
                <w:rFonts w:hint="eastAsia" w:ascii="Times New Roman" w:hAnsi="Times New Roman" w:eastAsia="宋体" w:cs="Times New Roman"/>
                <w:b/>
                <w:bCs/>
                <w:i w:val="0"/>
                <w:iCs w:val="0"/>
                <w:snapToGrid w:val="0"/>
                <w:color w:val="000000"/>
                <w:kern w:val="0"/>
                <w:sz w:val="18"/>
                <w:szCs w:val="18"/>
                <w:u w:val="none"/>
                <w:lang w:val="en-US" w:eastAsia="zh-CN" w:bidi="ar"/>
              </w:rPr>
              <w:t>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90" w:hRule="atLeast"/>
          <w:jc w:val="center"/>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12</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310510014</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医学3D建模(口腔)</w:t>
            </w:r>
          </w:p>
        </w:tc>
        <w:tc>
          <w:tcPr>
            <w:tcW w:w="3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snapToGrid w:val="0"/>
                <w:color w:val="000000"/>
                <w:kern w:val="0"/>
                <w:sz w:val="18"/>
                <w:szCs w:val="18"/>
                <w:u w:val="none"/>
                <w:lang w:val="en-US" w:eastAsia="zh-CN" w:bidi="ar"/>
              </w:rPr>
            </w:pPr>
            <w:r>
              <w:rPr>
                <w:rFonts w:hint="default" w:ascii="Times New Roman" w:hAnsi="Times New Roman" w:eastAsia="宋体" w:cs="Times New Roman"/>
                <w:b/>
                <w:bCs/>
                <w:i w:val="0"/>
                <w:iCs w:val="0"/>
                <w:snapToGrid w:val="0"/>
                <w:color w:val="000000"/>
                <w:kern w:val="0"/>
                <w:sz w:val="18"/>
                <w:szCs w:val="18"/>
                <w:u w:val="none"/>
                <w:lang w:val="en-US" w:eastAsia="zh-CN" w:bidi="ar"/>
              </w:rPr>
              <w:t>服务产出:利用医学影像检查等手段获得患者特定部位的真实信息。通过数字技术构建的虚拟3D模型、真实再现口腔及颌面特定部位的形态,能够满足疾病诊断、手术规划、治疗及导板设计的需要。</w:t>
            </w:r>
          </w:p>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i w:val="0"/>
                <w:iCs w:val="0"/>
                <w:snapToGrid w:val="0"/>
                <w:color w:val="000000"/>
                <w:kern w:val="0"/>
                <w:sz w:val="18"/>
                <w:szCs w:val="18"/>
                <w:u w:val="none"/>
                <w:lang w:val="en-US" w:eastAsia="zh-CN" w:bidi="ar"/>
              </w:rPr>
              <w:t>价格构成:涵盖数字化扫描、建模、存储、传输,装置设计等步骤的人力资源和基本物资消耗。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rPr>
                <w:rFonts w:hint="default" w:ascii="Times New Roman" w:hAnsi="Times New Roman" w:eastAsia="宋体" w:cs="Times New Roman"/>
                <w:b/>
                <w:bCs/>
                <w:i w:val="0"/>
                <w:iCs w:val="0"/>
                <w:color w:val="000000"/>
                <w:sz w:val="18"/>
                <w:szCs w:val="18"/>
                <w:u w:val="none"/>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例</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rPr>
                <w:rFonts w:hint="default" w:ascii="Times New Roman" w:hAnsi="Times New Roman" w:eastAsia="宋体" w:cs="Times New Roman"/>
                <w:b/>
                <w:bCs/>
                <w:i w:val="0"/>
                <w:iCs w:val="0"/>
                <w:color w:val="000000"/>
                <w:sz w:val="18"/>
                <w:szCs w:val="18"/>
                <w:u w:val="none"/>
              </w:rPr>
            </w:pP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192</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192</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160</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160</w:t>
            </w:r>
          </w:p>
        </w:tc>
        <w:tc>
          <w:tcPr>
            <w:tcW w:w="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128</w:t>
            </w:r>
          </w:p>
        </w:tc>
        <w:tc>
          <w:tcPr>
            <w:tcW w:w="7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snapToGrid w:val="0"/>
                <w:color w:val="000000"/>
                <w:kern w:val="0"/>
                <w:sz w:val="18"/>
                <w:szCs w:val="18"/>
                <w:u w:val="none"/>
                <w:lang w:val="en-US" w:eastAsia="zh-CN" w:bidi="ar"/>
              </w:rPr>
            </w:pPr>
            <w:r>
              <w:rPr>
                <w:rFonts w:hint="eastAsia" w:ascii="Times New Roman" w:hAnsi="Times New Roman" w:eastAsia="宋体" w:cs="Times New Roman"/>
                <w:b/>
                <w:bCs/>
                <w:i w:val="0"/>
                <w:iCs w:val="0"/>
                <w:snapToGrid w:val="0"/>
                <w:color w:val="000000"/>
                <w:kern w:val="0"/>
                <w:sz w:val="18"/>
                <w:szCs w:val="18"/>
                <w:u w:val="none"/>
                <w:lang w:val="en-US" w:eastAsia="zh-CN" w:bidi="ar"/>
              </w:rPr>
              <w:t>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jc w:val="center"/>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13</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310510015</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医学3D模型打印(口腔)</w:t>
            </w:r>
          </w:p>
        </w:tc>
        <w:tc>
          <w:tcPr>
            <w:tcW w:w="3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snapToGrid w:val="0"/>
                <w:color w:val="000000"/>
                <w:kern w:val="0"/>
                <w:sz w:val="18"/>
                <w:szCs w:val="18"/>
                <w:u w:val="none"/>
                <w:lang w:val="en-US" w:eastAsia="zh-CN" w:bidi="ar"/>
              </w:rPr>
            </w:pPr>
            <w:r>
              <w:rPr>
                <w:rFonts w:hint="default" w:ascii="Times New Roman" w:hAnsi="Times New Roman" w:eastAsia="宋体" w:cs="Times New Roman"/>
                <w:b/>
                <w:bCs/>
                <w:i w:val="0"/>
                <w:iCs w:val="0"/>
                <w:snapToGrid w:val="0"/>
                <w:color w:val="000000"/>
                <w:kern w:val="0"/>
                <w:sz w:val="18"/>
                <w:szCs w:val="18"/>
                <w:u w:val="none"/>
                <w:lang w:val="en-US" w:eastAsia="zh-CN" w:bidi="ar"/>
              </w:rPr>
              <w:t>服务产出:将虚拟3D模型打印或切削制作成仅用于口腔疾病诊断、手术规划、治疗及导板设计的实体模型。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价格构成:涵盖3D打印或切削制作的人力资源和基本物资消耗。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rPr>
                <w:rFonts w:hint="default" w:ascii="Times New Roman" w:hAnsi="Times New Roman" w:eastAsia="宋体" w:cs="Times New Roman"/>
                <w:b/>
                <w:bCs/>
                <w:i w:val="0"/>
                <w:iCs w:val="0"/>
                <w:color w:val="000000"/>
                <w:sz w:val="18"/>
                <w:szCs w:val="18"/>
                <w:u w:val="none"/>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件</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常规单颗种植中使用本项目,按收费标准的7%计价</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331</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331</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276</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276</w:t>
            </w:r>
          </w:p>
        </w:tc>
        <w:tc>
          <w:tcPr>
            <w:tcW w:w="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221</w:t>
            </w:r>
          </w:p>
        </w:tc>
        <w:tc>
          <w:tcPr>
            <w:tcW w:w="7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snapToGrid w:val="0"/>
                <w:color w:val="000000"/>
                <w:kern w:val="0"/>
                <w:sz w:val="18"/>
                <w:szCs w:val="18"/>
                <w:u w:val="none"/>
                <w:lang w:val="en-US" w:eastAsia="zh-CN" w:bidi="ar"/>
              </w:rPr>
            </w:pPr>
            <w:r>
              <w:rPr>
                <w:rFonts w:hint="eastAsia" w:ascii="Times New Roman" w:hAnsi="Times New Roman" w:eastAsia="宋体" w:cs="Times New Roman"/>
                <w:b/>
                <w:bCs/>
                <w:i w:val="0"/>
                <w:iCs w:val="0"/>
                <w:snapToGrid w:val="0"/>
                <w:color w:val="000000"/>
                <w:kern w:val="0"/>
                <w:sz w:val="18"/>
                <w:szCs w:val="18"/>
                <w:u w:val="none"/>
                <w:lang w:val="en-US" w:eastAsia="zh-CN" w:bidi="ar"/>
              </w:rPr>
              <w:t>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30" w:hRule="atLeast"/>
          <w:jc w:val="center"/>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14</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310510016</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医学3D导板打印(口腔)</w:t>
            </w:r>
          </w:p>
        </w:tc>
        <w:tc>
          <w:tcPr>
            <w:tcW w:w="3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snapToGrid w:val="0"/>
                <w:color w:val="000000"/>
                <w:kern w:val="0"/>
                <w:sz w:val="18"/>
                <w:szCs w:val="18"/>
                <w:u w:val="none"/>
                <w:lang w:val="en-US" w:eastAsia="zh-CN" w:bidi="ar"/>
              </w:rPr>
            </w:pPr>
            <w:r>
              <w:rPr>
                <w:rFonts w:hint="default" w:ascii="Times New Roman" w:hAnsi="Times New Roman" w:eastAsia="宋体" w:cs="Times New Roman"/>
                <w:b/>
                <w:bCs/>
                <w:i w:val="0"/>
                <w:iCs w:val="0"/>
                <w:snapToGrid w:val="0"/>
                <w:color w:val="000000"/>
                <w:kern w:val="0"/>
                <w:sz w:val="18"/>
                <w:szCs w:val="18"/>
                <w:u w:val="none"/>
                <w:lang w:val="en-US" w:eastAsia="zh-CN" w:bidi="ar"/>
              </w:rPr>
              <w:t>服务产出:将虚拟3D模型打印或切削制作成用于治疗部位、确保植(置)入物精准到达和处理预定位置的实物模板或手术操作对治疗部位进行精确处理。</w:t>
            </w:r>
          </w:p>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价格构成:涵盖3D打印或切削制作的人力资源和基本物资消耗。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rPr>
                <w:rFonts w:hint="default" w:ascii="Times New Roman" w:hAnsi="Times New Roman" w:eastAsia="宋体" w:cs="Times New Roman"/>
                <w:b/>
                <w:bCs/>
                <w:i w:val="0"/>
                <w:iCs w:val="0"/>
                <w:color w:val="000000"/>
                <w:sz w:val="18"/>
                <w:szCs w:val="18"/>
                <w:u w:val="none"/>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件</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常规单颗种植中使用本项目,按收费标准的7%计价</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1022</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1022</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852</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852</w:t>
            </w:r>
          </w:p>
        </w:tc>
        <w:tc>
          <w:tcPr>
            <w:tcW w:w="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682</w:t>
            </w:r>
          </w:p>
        </w:tc>
        <w:tc>
          <w:tcPr>
            <w:tcW w:w="7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snapToGrid w:val="0"/>
                <w:color w:val="000000"/>
                <w:kern w:val="0"/>
                <w:sz w:val="18"/>
                <w:szCs w:val="18"/>
                <w:u w:val="none"/>
                <w:lang w:val="en-US" w:eastAsia="zh-CN" w:bidi="ar"/>
              </w:rPr>
            </w:pPr>
            <w:r>
              <w:rPr>
                <w:rFonts w:hint="eastAsia" w:ascii="Times New Roman" w:hAnsi="Times New Roman" w:eastAsia="宋体" w:cs="Times New Roman"/>
                <w:b/>
                <w:bCs/>
                <w:i w:val="0"/>
                <w:iCs w:val="0"/>
                <w:snapToGrid w:val="0"/>
                <w:color w:val="000000"/>
                <w:kern w:val="0"/>
                <w:sz w:val="18"/>
                <w:szCs w:val="18"/>
                <w:u w:val="none"/>
                <w:lang w:val="en-US" w:eastAsia="zh-CN" w:bidi="ar"/>
              </w:rPr>
              <w:t>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5" w:hRule="atLeast"/>
          <w:jc w:val="center"/>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15</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330609014</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种植体植入费(单颗)</w:t>
            </w:r>
          </w:p>
        </w:tc>
        <w:tc>
          <w:tcPr>
            <w:tcW w:w="3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snapToGrid w:val="0"/>
                <w:color w:val="000000"/>
                <w:kern w:val="0"/>
                <w:sz w:val="18"/>
                <w:szCs w:val="18"/>
                <w:u w:val="none"/>
                <w:lang w:val="en-US" w:eastAsia="zh-CN" w:bidi="ar"/>
              </w:rPr>
            </w:pPr>
            <w:r>
              <w:rPr>
                <w:rFonts w:hint="default" w:ascii="Times New Roman" w:hAnsi="Times New Roman" w:eastAsia="宋体" w:cs="Times New Roman"/>
                <w:b/>
                <w:bCs/>
                <w:i w:val="0"/>
                <w:iCs w:val="0"/>
                <w:snapToGrid w:val="0"/>
                <w:color w:val="000000"/>
                <w:kern w:val="0"/>
                <w:sz w:val="18"/>
                <w:szCs w:val="18"/>
                <w:u w:val="none"/>
                <w:lang w:val="en-US" w:eastAsia="zh-CN" w:bidi="ar"/>
              </w:rPr>
              <w:t>服务产出:实现口腔单颗种植体植入。</w:t>
            </w:r>
          </w:p>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价格构成:涵盖方案设计、术前准备,备洞,种植体植入,二期手术,术后处理,手术复查等步骤人力资源和基本物资消耗。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种植体</w:t>
            </w:r>
            <w:r>
              <w:rPr>
                <w:rFonts w:hint="default" w:ascii="Times New Roman" w:hAnsi="Times New Roman" w:eastAsia="宋体" w:cs="Times New Roman"/>
                <w:b/>
                <w:bCs/>
                <w:i w:val="0"/>
                <w:iCs w:val="0"/>
                <w:snapToGrid w:val="0"/>
                <w:color w:val="000000"/>
                <w:kern w:val="0"/>
                <w:sz w:val="18"/>
                <w:szCs w:val="18"/>
                <w:u w:val="none"/>
                <w:lang w:val="en-US" w:eastAsia="zh-CN" w:bidi="ar"/>
              </w:rPr>
              <w:br w:type="textWrapping"/>
            </w:r>
            <w:r>
              <w:rPr>
                <w:rFonts w:hint="default" w:ascii="Times New Roman" w:hAnsi="Times New Roman" w:eastAsia="宋体" w:cs="Times New Roman"/>
                <w:b/>
                <w:bCs/>
                <w:i w:val="0"/>
                <w:iCs w:val="0"/>
                <w:snapToGrid w:val="0"/>
                <w:color w:val="000000"/>
                <w:kern w:val="0"/>
                <w:sz w:val="18"/>
                <w:szCs w:val="18"/>
                <w:u w:val="none"/>
                <w:lang w:val="en-US" w:eastAsia="zh-CN" w:bidi="ar"/>
              </w:rPr>
              <w:t>系统</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牙位</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01种植体即刻种植加收30%;02颅颌面种植体植入加收100%</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1208.42</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1208</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1007.14</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1007</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1007</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snapToGrid w:val="0"/>
                <w:color w:val="000000"/>
                <w:kern w:val="0"/>
                <w:sz w:val="18"/>
                <w:szCs w:val="18"/>
                <w:u w:val="none"/>
                <w:lang w:val="en-US" w:eastAsia="zh-CN" w:bidi="ar"/>
              </w:rPr>
            </w:pPr>
            <w:r>
              <w:rPr>
                <w:rFonts w:hint="eastAsia" w:ascii="Times New Roman" w:hAnsi="Times New Roman" w:eastAsia="宋体" w:cs="Times New Roman"/>
                <w:b/>
                <w:bCs/>
                <w:i w:val="0"/>
                <w:iCs w:val="0"/>
                <w:snapToGrid w:val="0"/>
                <w:color w:val="000000"/>
                <w:kern w:val="0"/>
                <w:sz w:val="18"/>
                <w:szCs w:val="18"/>
                <w:u w:val="none"/>
                <w:lang w:val="en-US" w:eastAsia="zh-CN" w:bidi="ar"/>
              </w:rPr>
              <w:t>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0" w:hRule="atLeast"/>
          <w:jc w:val="center"/>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16</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330609014-1</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种植体植入费(单颗)-种植体即刻种植(加收)</w:t>
            </w:r>
          </w:p>
        </w:tc>
        <w:tc>
          <w:tcPr>
            <w:tcW w:w="3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rPr>
                <w:rFonts w:hint="default" w:ascii="Times New Roman" w:hAnsi="Times New Roman" w:eastAsia="宋体" w:cs="Times New Roman"/>
                <w:b/>
                <w:bCs/>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rPr>
                <w:rFonts w:hint="default" w:ascii="Times New Roman" w:hAnsi="Times New Roman" w:eastAsia="宋体" w:cs="Times New Roman"/>
                <w:b/>
                <w:bCs/>
                <w:i w:val="0"/>
                <w:iCs w:val="0"/>
                <w:color w:val="000000"/>
                <w:sz w:val="18"/>
                <w:szCs w:val="18"/>
                <w:u w:val="none"/>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牙位</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rPr>
                <w:rFonts w:hint="default" w:ascii="Times New Roman" w:hAnsi="Times New Roman" w:eastAsia="宋体" w:cs="Times New Roman"/>
                <w:b/>
                <w:bCs/>
                <w:i w:val="0"/>
                <w:iCs w:val="0"/>
                <w:color w:val="000000"/>
                <w:sz w:val="18"/>
                <w:szCs w:val="18"/>
                <w:u w:val="none"/>
              </w:rPr>
            </w:pP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30%</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30%</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30%</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30%</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30%</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snapToGrid w:val="0"/>
                <w:color w:val="000000"/>
                <w:kern w:val="0"/>
                <w:sz w:val="18"/>
                <w:szCs w:val="18"/>
                <w:u w:val="none"/>
                <w:lang w:val="en-US" w:eastAsia="zh-CN" w:bidi="ar"/>
              </w:rPr>
            </w:pPr>
            <w:r>
              <w:rPr>
                <w:rFonts w:hint="eastAsia" w:ascii="Times New Roman" w:hAnsi="Times New Roman" w:eastAsia="宋体" w:cs="Times New Roman"/>
                <w:b/>
                <w:bCs/>
                <w:i w:val="0"/>
                <w:iCs w:val="0"/>
                <w:snapToGrid w:val="0"/>
                <w:color w:val="000000"/>
                <w:kern w:val="0"/>
                <w:sz w:val="18"/>
                <w:szCs w:val="18"/>
                <w:u w:val="none"/>
                <w:lang w:val="en-US" w:eastAsia="zh-CN" w:bidi="ar"/>
              </w:rPr>
              <w:t>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17</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330609014-2</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种植体植入费(单颗)-颅颌面种植体植入(加收)</w:t>
            </w:r>
          </w:p>
        </w:tc>
        <w:tc>
          <w:tcPr>
            <w:tcW w:w="3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rPr>
                <w:rFonts w:hint="default" w:ascii="Times New Roman" w:hAnsi="Times New Roman" w:eastAsia="宋体" w:cs="Times New Roman"/>
                <w:b/>
                <w:bCs/>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rPr>
                <w:rFonts w:hint="default" w:ascii="Times New Roman" w:hAnsi="Times New Roman" w:eastAsia="宋体" w:cs="Times New Roman"/>
                <w:b/>
                <w:bCs/>
                <w:i w:val="0"/>
                <w:iCs w:val="0"/>
                <w:color w:val="000000"/>
                <w:sz w:val="18"/>
                <w:szCs w:val="18"/>
                <w:u w:val="none"/>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牙位</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rPr>
                <w:rFonts w:hint="default" w:ascii="Times New Roman" w:hAnsi="Times New Roman" w:eastAsia="宋体" w:cs="Times New Roman"/>
                <w:b/>
                <w:bCs/>
                <w:i w:val="0"/>
                <w:iCs w:val="0"/>
                <w:color w:val="000000"/>
                <w:sz w:val="18"/>
                <w:szCs w:val="18"/>
                <w:u w:val="none"/>
              </w:rPr>
            </w:pP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100%</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100%</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100%</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100%</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100%</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snapToGrid w:val="0"/>
                <w:color w:val="000000"/>
                <w:kern w:val="0"/>
                <w:sz w:val="18"/>
                <w:szCs w:val="18"/>
                <w:u w:val="none"/>
                <w:lang w:val="en-US" w:eastAsia="zh-CN" w:bidi="ar"/>
              </w:rPr>
            </w:pPr>
            <w:r>
              <w:rPr>
                <w:rFonts w:hint="eastAsia" w:ascii="Times New Roman" w:hAnsi="Times New Roman" w:eastAsia="宋体" w:cs="Times New Roman"/>
                <w:b/>
                <w:bCs/>
                <w:i w:val="0"/>
                <w:iCs w:val="0"/>
                <w:snapToGrid w:val="0"/>
                <w:color w:val="000000"/>
                <w:kern w:val="0"/>
                <w:sz w:val="18"/>
                <w:szCs w:val="18"/>
                <w:u w:val="none"/>
                <w:lang w:val="en-US" w:eastAsia="zh-CN" w:bidi="ar"/>
              </w:rPr>
              <w:t>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jc w:val="center"/>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18</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310523008</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种植牙冠修复置入费(单颗)</w:t>
            </w:r>
          </w:p>
        </w:tc>
        <w:tc>
          <w:tcPr>
            <w:tcW w:w="3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服务产出:实现种植体上部固定义齿的修复置入。价格构成:涵盖方案设计、印模制取、颌位确定、位置转移、模型制作、试排牙、戴入、调改、宣教等人力资源和基本物资消耗。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牙冠、种植体系统</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牙位</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01即刻修复置入加收30%;02临时冠修复置入减收30%</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906</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906</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755</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755</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755</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snapToGrid w:val="0"/>
                <w:color w:val="000000"/>
                <w:kern w:val="0"/>
                <w:sz w:val="18"/>
                <w:szCs w:val="18"/>
                <w:u w:val="none"/>
                <w:lang w:val="en-US" w:eastAsia="zh-CN" w:bidi="ar"/>
              </w:rPr>
            </w:pPr>
            <w:r>
              <w:rPr>
                <w:rFonts w:hint="eastAsia" w:ascii="Times New Roman" w:hAnsi="Times New Roman" w:eastAsia="宋体" w:cs="Times New Roman"/>
                <w:b/>
                <w:bCs/>
                <w:i w:val="0"/>
                <w:iCs w:val="0"/>
                <w:snapToGrid w:val="0"/>
                <w:color w:val="000000"/>
                <w:kern w:val="0"/>
                <w:sz w:val="18"/>
                <w:szCs w:val="18"/>
                <w:u w:val="none"/>
                <w:lang w:val="en-US" w:eastAsia="zh-CN" w:bidi="ar"/>
              </w:rPr>
              <w:t>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jc w:val="center"/>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19</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310523008-1</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种植牙冠修复置入费(单颗)-即刻修复置入(加收)</w:t>
            </w:r>
          </w:p>
        </w:tc>
        <w:tc>
          <w:tcPr>
            <w:tcW w:w="3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rPr>
                <w:rFonts w:hint="default" w:ascii="Times New Roman" w:hAnsi="Times New Roman" w:eastAsia="宋体" w:cs="Times New Roman"/>
                <w:b/>
                <w:bCs/>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rPr>
                <w:rFonts w:hint="default" w:ascii="Times New Roman" w:hAnsi="Times New Roman" w:eastAsia="宋体" w:cs="Times New Roman"/>
                <w:b/>
                <w:bCs/>
                <w:i w:val="0"/>
                <w:iCs w:val="0"/>
                <w:color w:val="000000"/>
                <w:sz w:val="18"/>
                <w:szCs w:val="18"/>
                <w:u w:val="none"/>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牙位</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rPr>
                <w:rFonts w:hint="default" w:ascii="Times New Roman" w:hAnsi="Times New Roman" w:eastAsia="宋体" w:cs="Times New Roman"/>
                <w:b/>
                <w:bCs/>
                <w:i w:val="0"/>
                <w:iCs w:val="0"/>
                <w:color w:val="000000"/>
                <w:sz w:val="18"/>
                <w:szCs w:val="18"/>
                <w:u w:val="none"/>
              </w:rPr>
            </w:pP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30%</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30%</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30%</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30%</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30%</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snapToGrid w:val="0"/>
                <w:color w:val="000000"/>
                <w:kern w:val="0"/>
                <w:sz w:val="18"/>
                <w:szCs w:val="18"/>
                <w:u w:val="none"/>
                <w:lang w:val="en-US" w:eastAsia="zh-CN" w:bidi="ar"/>
              </w:rPr>
            </w:pPr>
            <w:r>
              <w:rPr>
                <w:rFonts w:hint="eastAsia" w:ascii="Times New Roman" w:hAnsi="Times New Roman" w:eastAsia="宋体" w:cs="Times New Roman"/>
                <w:b/>
                <w:bCs/>
                <w:i w:val="0"/>
                <w:iCs w:val="0"/>
                <w:snapToGrid w:val="0"/>
                <w:color w:val="000000"/>
                <w:kern w:val="0"/>
                <w:sz w:val="18"/>
                <w:szCs w:val="18"/>
                <w:u w:val="none"/>
                <w:lang w:val="en-US" w:eastAsia="zh-CN" w:bidi="ar"/>
              </w:rPr>
              <w:t>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20</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310523008-2</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种植牙冠修复置入费(单颗)-临时冠修复置入(减收)</w:t>
            </w:r>
          </w:p>
        </w:tc>
        <w:tc>
          <w:tcPr>
            <w:tcW w:w="3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rPr>
                <w:rFonts w:hint="default" w:ascii="Times New Roman" w:hAnsi="Times New Roman" w:eastAsia="宋体" w:cs="Times New Roman"/>
                <w:b/>
                <w:bCs/>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rPr>
                <w:rFonts w:hint="default" w:ascii="Times New Roman" w:hAnsi="Times New Roman" w:eastAsia="宋体" w:cs="Times New Roman"/>
                <w:b/>
                <w:bCs/>
                <w:i w:val="0"/>
                <w:iCs w:val="0"/>
                <w:color w:val="000000"/>
                <w:sz w:val="18"/>
                <w:szCs w:val="18"/>
                <w:u w:val="none"/>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牙位</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exact"/>
              <w:jc w:val="both"/>
              <w:rPr>
                <w:rFonts w:hint="default" w:ascii="Times New Roman" w:hAnsi="Times New Roman" w:eastAsia="宋体" w:cs="Times New Roman"/>
                <w:b/>
                <w:bCs/>
                <w:i w:val="0"/>
                <w:iCs w:val="0"/>
                <w:color w:val="000000"/>
                <w:sz w:val="18"/>
                <w:szCs w:val="18"/>
                <w:u w:val="none"/>
              </w:rPr>
            </w:pP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30%</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30%</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30%</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30%</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30%</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20" w:lineRule="exact"/>
              <w:jc w:val="center"/>
              <w:textAlignment w:val="center"/>
              <w:rPr>
                <w:rFonts w:hint="default" w:ascii="Times New Roman" w:hAnsi="Times New Roman" w:eastAsia="宋体" w:cs="Times New Roman"/>
                <w:b/>
                <w:bCs/>
                <w:i w:val="0"/>
                <w:iCs w:val="0"/>
                <w:snapToGrid w:val="0"/>
                <w:color w:val="000000"/>
                <w:kern w:val="0"/>
                <w:sz w:val="18"/>
                <w:szCs w:val="18"/>
                <w:u w:val="none"/>
                <w:lang w:val="en-US" w:eastAsia="zh-CN" w:bidi="ar"/>
              </w:rPr>
            </w:pPr>
            <w:r>
              <w:rPr>
                <w:rFonts w:hint="eastAsia" w:ascii="Times New Roman" w:hAnsi="Times New Roman" w:eastAsia="宋体" w:cs="Times New Roman"/>
                <w:b/>
                <w:bCs/>
                <w:i w:val="0"/>
                <w:iCs w:val="0"/>
                <w:snapToGrid w:val="0"/>
                <w:color w:val="000000"/>
                <w:kern w:val="0"/>
                <w:sz w:val="18"/>
                <w:szCs w:val="18"/>
                <w:u w:val="none"/>
                <w:lang w:val="en-US" w:eastAsia="zh-CN" w:bidi="ar"/>
              </w:rPr>
              <w:t>丙</w:t>
            </w:r>
          </w:p>
        </w:tc>
      </w:tr>
    </w:tbl>
    <w:p>
      <w:pPr>
        <w:keepNext w:val="0"/>
        <w:keepLines w:val="0"/>
        <w:pageBreakBefore w:val="0"/>
        <w:widowControl/>
        <w:kinsoku w:val="0"/>
        <w:wordWrap/>
        <w:overflowPunct/>
        <w:topLinePunct w:val="0"/>
        <w:autoSpaceDE w:val="0"/>
        <w:autoSpaceDN w:val="0"/>
        <w:bidi w:val="0"/>
        <w:adjustRightInd w:val="0"/>
        <w:snapToGrid w:val="0"/>
        <w:spacing w:line="180" w:lineRule="exact"/>
        <w:jc w:val="both"/>
        <w:textAlignment w:val="baseline"/>
        <w:rPr>
          <w:rFonts w:hint="eastAsia" w:ascii="宋体" w:hAnsi="宋体" w:eastAsia="宋体" w:cs="宋体"/>
          <w:b/>
          <w:bCs/>
          <w:sz w:val="17"/>
          <w:szCs w:val="17"/>
        </w:rPr>
      </w:pPr>
      <w:r>
        <w:rPr>
          <w:rFonts w:hint="default" w:ascii="Times New Roman" w:hAnsi="Times New Roman" w:eastAsia="宋体" w:cs="Times New Roman"/>
          <w:b/>
          <w:bCs/>
          <w:spacing w:val="18"/>
          <w:sz w:val="17"/>
          <w:szCs w:val="17"/>
        </w:rPr>
        <w:t>使用说明：</w:t>
      </w:r>
      <w:r>
        <w:rPr>
          <w:rFonts w:hint="default" w:ascii="Times New Roman" w:hAnsi="Times New Roman" w:eastAsia="宋体" w:cs="Times New Roman"/>
          <w:b/>
          <w:bCs/>
          <w:spacing w:val="7"/>
          <w:sz w:val="17"/>
          <w:szCs w:val="17"/>
        </w:rPr>
        <w:t>1.“种植体植入费(单颗)”、“种植牙冠修复置入费(单颗)”2个项目试行价格：</w:t>
      </w:r>
      <w:r>
        <w:rPr>
          <w:rFonts w:hint="default" w:ascii="Times New Roman" w:hAnsi="Times New Roman" w:eastAsia="宋体" w:cs="Times New Roman"/>
          <w:b/>
          <w:bCs/>
          <w:spacing w:val="-1"/>
          <w:sz w:val="17"/>
          <w:szCs w:val="17"/>
        </w:rPr>
        <w:t>A档为省管公立医疗机构位于市中心城区以外区域，且不符合任何</w:t>
      </w:r>
      <w:r>
        <w:rPr>
          <w:rFonts w:hint="default" w:ascii="Times New Roman" w:hAnsi="Times New Roman" w:eastAsia="宋体" w:cs="Times New Roman"/>
          <w:b/>
          <w:bCs/>
          <w:spacing w:val="-2"/>
          <w:sz w:val="17"/>
          <w:szCs w:val="17"/>
        </w:rPr>
        <w:t>上浮条件。</w:t>
      </w:r>
      <w:r>
        <w:rPr>
          <w:rFonts w:hint="default" w:ascii="Times New Roman" w:hAnsi="Times New Roman" w:eastAsia="宋体" w:cs="Times New Roman"/>
          <w:b/>
          <w:bCs/>
          <w:spacing w:val="6"/>
          <w:sz w:val="17"/>
          <w:szCs w:val="17"/>
        </w:rPr>
        <w:t>B档为省管公立医疗机构符合经济发达地区上浮1</w:t>
      </w:r>
      <w:r>
        <w:rPr>
          <w:rFonts w:hint="default" w:ascii="Times New Roman" w:hAnsi="Times New Roman" w:eastAsia="宋体" w:cs="Times New Roman"/>
          <w:b/>
          <w:bCs/>
          <w:spacing w:val="5"/>
          <w:sz w:val="17"/>
          <w:szCs w:val="17"/>
        </w:rPr>
        <w:t>0%、口腔种植成功率高上浮10%和国家口腔医学中心上浮10%中的一项条件。C档为省管公立医疗机构符合经济发达地区上浮10%、口腔种植成功率高上浮10%和国家口腔医学中心上浮10%中的二项条件。</w:t>
      </w:r>
      <w:r>
        <w:rPr>
          <w:rFonts w:hint="default" w:ascii="Times New Roman" w:hAnsi="Times New Roman" w:eastAsia="宋体" w:cs="Times New Roman"/>
          <w:b/>
          <w:bCs/>
          <w:spacing w:val="6"/>
          <w:sz w:val="17"/>
          <w:szCs w:val="17"/>
        </w:rPr>
        <w:t>D档为省管公立医疗机构符合经济发达地区上浮10%、口腔种植成功率高上浮10%和国家口</w:t>
      </w:r>
      <w:r>
        <w:rPr>
          <w:rFonts w:hint="default" w:ascii="Times New Roman" w:hAnsi="Times New Roman" w:eastAsia="宋体" w:cs="Times New Roman"/>
          <w:b/>
          <w:bCs/>
          <w:spacing w:val="5"/>
          <w:sz w:val="17"/>
          <w:szCs w:val="17"/>
        </w:rPr>
        <w:t>腔医学中心上浮10%中的三项条件。</w:t>
      </w:r>
      <w:r>
        <w:rPr>
          <w:rFonts w:hint="default" w:ascii="Times New Roman" w:hAnsi="Times New Roman" w:eastAsia="宋体" w:cs="Times New Roman"/>
          <w:b/>
          <w:bCs/>
          <w:spacing w:val="-1"/>
          <w:sz w:val="17"/>
          <w:szCs w:val="17"/>
        </w:rPr>
        <w:t>2.本价格表所指植入体为种植体、基合等植入牙床、包裹在牙龈内的医用耗材，置入体是指种植牙冠、义齿等安置在口腔内、暴露在牙龈之外，不</w:t>
      </w:r>
      <w:r>
        <w:rPr>
          <w:rFonts w:hint="default" w:ascii="Times New Roman" w:hAnsi="Times New Roman" w:eastAsia="宋体" w:cs="Times New Roman"/>
          <w:b/>
          <w:bCs/>
          <w:spacing w:val="-3"/>
          <w:sz w:val="17"/>
          <w:szCs w:val="17"/>
        </w:rPr>
        <w:t>与人体组织直接结合的医用耗材。</w:t>
      </w:r>
      <w:r>
        <w:rPr>
          <w:rFonts w:hint="default" w:ascii="Times New Roman" w:hAnsi="Times New Roman" w:eastAsia="宋体" w:cs="Times New Roman"/>
          <w:b/>
          <w:bCs/>
          <w:spacing w:val="1"/>
          <w:sz w:val="17"/>
          <w:szCs w:val="17"/>
        </w:rPr>
        <w:t>3.本价格表所称“价格构成”,指制定项目价格应涵盖的各类资源消耗，医疗机构实际提供服务时，“价格构成”的个</w:t>
      </w:r>
      <w:r>
        <w:rPr>
          <w:rFonts w:hint="default" w:ascii="Times New Roman" w:hAnsi="Times New Roman" w:eastAsia="宋体" w:cs="Times New Roman"/>
          <w:b/>
          <w:bCs/>
          <w:sz w:val="17"/>
          <w:szCs w:val="17"/>
        </w:rPr>
        <w:t>别要素因患者个体差异可以</w:t>
      </w:r>
      <w:r>
        <w:rPr>
          <w:rFonts w:hint="default" w:ascii="Times New Roman" w:hAnsi="Times New Roman" w:eastAsia="宋体" w:cs="Times New Roman"/>
          <w:b/>
          <w:bCs/>
          <w:spacing w:val="-1"/>
          <w:sz w:val="17"/>
          <w:szCs w:val="17"/>
        </w:rPr>
        <w:t>不发生的，除另有政策规定外，应允许医疗机构收费适用相应的项目和价格政策。此外，“价格构成”用于确定计价单元的边界，不应作为临床技</w:t>
      </w:r>
      <w:r>
        <w:rPr>
          <w:rFonts w:hint="default" w:ascii="Times New Roman" w:hAnsi="Times New Roman" w:eastAsia="宋体" w:cs="Times New Roman"/>
          <w:b/>
          <w:bCs/>
          <w:spacing w:val="-2"/>
          <w:sz w:val="17"/>
          <w:szCs w:val="17"/>
        </w:rPr>
        <w:t>术标准理解，不是医疗服务实际操作方式、路径、步骤、程序的强制性要求</w:t>
      </w:r>
      <w:r>
        <w:rPr>
          <w:rFonts w:hint="eastAsia" w:ascii="Times New Roman" w:hAnsi="Times New Roman" w:eastAsia="宋体" w:cs="Times New Roman"/>
          <w:b/>
          <w:bCs/>
          <w:spacing w:val="-2"/>
          <w:sz w:val="17"/>
          <w:szCs w:val="17"/>
          <w:lang w:eastAsia="zh-CN"/>
        </w:rPr>
        <w:t>。</w:t>
      </w:r>
      <w:r>
        <w:rPr>
          <w:rFonts w:hint="eastAsia" w:ascii="宋体" w:hAnsi="宋体" w:eastAsia="宋体" w:cs="宋体"/>
          <w:b/>
          <w:bCs/>
          <w:spacing w:val="-1"/>
          <w:sz w:val="17"/>
          <w:szCs w:val="17"/>
        </w:rPr>
        <w:t>4.本价格表所称“基本物耗”指原则上限于不应或不必要与医疗服务项目分割的易耗品，包括但不限于各类消杀用品、储存用品、清洁用品</w:t>
      </w:r>
      <w:r>
        <w:rPr>
          <w:rFonts w:hint="eastAsia" w:ascii="宋体" w:hAnsi="宋体" w:eastAsia="宋体" w:cs="宋体"/>
          <w:b/>
          <w:bCs/>
          <w:spacing w:val="-2"/>
          <w:sz w:val="17"/>
          <w:szCs w:val="17"/>
        </w:rPr>
        <w:t>、个人</w:t>
      </w:r>
      <w:r>
        <w:rPr>
          <w:rFonts w:hint="eastAsia" w:ascii="宋体" w:hAnsi="宋体" w:eastAsia="宋体" w:cs="宋体"/>
          <w:b/>
          <w:bCs/>
          <w:spacing w:val="-1"/>
          <w:sz w:val="17"/>
          <w:szCs w:val="17"/>
        </w:rPr>
        <w:t>防护用品、垃圾处理用品、试戴材料、铸造包埋材、义齿清洁材料、牙科分离剂、模型材料、蜡型材料、</w:t>
      </w:r>
      <w:r>
        <w:rPr>
          <w:rFonts w:hint="eastAsia" w:ascii="宋体" w:hAnsi="宋体" w:eastAsia="宋体" w:cs="宋体"/>
          <w:b/>
          <w:bCs/>
          <w:spacing w:val="-2"/>
          <w:sz w:val="17"/>
          <w:szCs w:val="17"/>
        </w:rPr>
        <w:t>车针、排龈材料、菌班指示剂、义齿稳固</w:t>
      </w:r>
      <w:r>
        <w:rPr>
          <w:rFonts w:hint="eastAsia" w:ascii="宋体" w:hAnsi="宋体" w:eastAsia="宋体" w:cs="宋体"/>
          <w:b/>
          <w:bCs/>
          <w:spacing w:val="4"/>
          <w:sz w:val="17"/>
          <w:szCs w:val="17"/>
        </w:rPr>
        <w:t>剂、印模材料、咬合记录材料、咬合检查材料、研磨抛光材料、冲洗液、润滑剂、灌洗液、棉球、棉签、纱布(垫)、护垫、</w:t>
      </w:r>
      <w:r>
        <w:rPr>
          <w:rFonts w:hint="eastAsia" w:ascii="宋体" w:hAnsi="宋体" w:eastAsia="宋体" w:cs="宋体"/>
          <w:b/>
          <w:bCs/>
          <w:spacing w:val="3"/>
          <w:sz w:val="17"/>
          <w:szCs w:val="17"/>
        </w:rPr>
        <w:t>衬垫、手术巾(单)、治疗巾(单)、治疗护理盘(包)、注射器、压舌板、滑石粉、防渗漏垫、标签、操作器具、冲洗工具。基本物耗成本计入项目价格，</w:t>
      </w:r>
      <w:r>
        <w:rPr>
          <w:rFonts w:hint="eastAsia" w:ascii="宋体" w:hAnsi="宋体" w:eastAsia="宋体" w:cs="宋体"/>
          <w:b/>
          <w:bCs/>
          <w:spacing w:val="2"/>
          <w:sz w:val="17"/>
          <w:szCs w:val="17"/>
        </w:rPr>
        <w:t>不另行收费。</w:t>
      </w:r>
      <w:r>
        <w:rPr>
          <w:rFonts w:hint="eastAsia" w:ascii="宋体" w:hAnsi="宋体" w:eastAsia="宋体" w:cs="宋体"/>
          <w:b/>
          <w:bCs/>
          <w:spacing w:val="1"/>
          <w:sz w:val="17"/>
          <w:szCs w:val="17"/>
        </w:rPr>
        <w:t>5.即刻种植指拔牙或牙齿缺失当日完成种植体植入的情况；即刻修复指种植体植入后1</w:t>
      </w:r>
      <w:r>
        <w:rPr>
          <w:rFonts w:hint="eastAsia" w:ascii="宋体" w:hAnsi="宋体" w:eastAsia="宋体" w:cs="宋体"/>
          <w:b/>
          <w:bCs/>
          <w:sz w:val="17"/>
          <w:szCs w:val="17"/>
        </w:rPr>
        <w:t>周以内完成牙冠置入的情形。</w:t>
      </w:r>
      <w:r>
        <w:rPr>
          <w:rFonts w:hint="eastAsia" w:ascii="宋体" w:hAnsi="宋体" w:eastAsia="宋体" w:cs="宋体"/>
          <w:b/>
          <w:bCs/>
          <w:spacing w:val="-1"/>
          <w:sz w:val="17"/>
          <w:szCs w:val="17"/>
        </w:rPr>
        <w:t>6.口腔内简单植骨指通过骨替代材料引导骨再生或填充牙槽嵴骨量；口腔内复杂植骨包括上颌窦外提升植骨、牙槽嵴块状自体骨移植；口腔内一般</w:t>
      </w:r>
      <w:r>
        <w:rPr>
          <w:rFonts w:hint="eastAsia" w:ascii="宋体" w:hAnsi="宋体" w:eastAsia="宋体" w:cs="宋体"/>
          <w:b/>
          <w:bCs/>
          <w:spacing w:val="-2"/>
          <w:sz w:val="17"/>
          <w:szCs w:val="17"/>
        </w:rPr>
        <w:t>植骨指简单植骨与复杂植骨以外各类形式的植骨技术。</w:t>
      </w:r>
      <w:r>
        <w:rPr>
          <w:rFonts w:hint="eastAsia" w:ascii="宋体" w:hAnsi="宋体" w:eastAsia="宋体" w:cs="宋体"/>
          <w:b/>
          <w:bCs/>
          <w:spacing w:val="-1"/>
          <w:sz w:val="17"/>
          <w:szCs w:val="17"/>
        </w:rPr>
        <w:t>7.医疗机构应对本院施治的口腔内牙齿缺失植入体</w:t>
      </w:r>
      <w:r>
        <w:rPr>
          <w:rFonts w:hint="eastAsia" w:ascii="宋体" w:hAnsi="宋体" w:eastAsia="宋体" w:cs="宋体"/>
          <w:b/>
          <w:bCs/>
          <w:spacing w:val="-2"/>
          <w:sz w:val="17"/>
          <w:szCs w:val="17"/>
        </w:rPr>
        <w:t>、置入体进行保质保修，保修范围内出现损坏，医疗机构应免费进行修理、再制作，不得向患者</w:t>
      </w:r>
      <w:r>
        <w:rPr>
          <w:rFonts w:hint="eastAsia" w:ascii="宋体" w:hAnsi="宋体" w:eastAsia="宋体" w:cs="宋体"/>
          <w:b/>
          <w:bCs/>
          <w:spacing w:val="-9"/>
          <w:sz w:val="17"/>
          <w:szCs w:val="17"/>
        </w:rPr>
        <w:t>收取费用。</w:t>
      </w:r>
      <w:r>
        <w:rPr>
          <w:rFonts w:hint="eastAsia" w:ascii="宋体" w:hAnsi="宋体" w:eastAsia="宋体" w:cs="宋体"/>
          <w:b/>
          <w:bCs/>
          <w:sz w:val="17"/>
          <w:szCs w:val="17"/>
        </w:rPr>
        <w:t>8.本价格表所列的口腔医学3D项目，是指为口腔种植手术方案设计、导航定位等提供辅助的服务。医疗机构自行制作牙冠所进行的3D扫描设计、</w:t>
      </w:r>
      <w:r>
        <w:rPr>
          <w:rFonts w:hint="eastAsia" w:ascii="宋体" w:hAnsi="宋体" w:eastAsia="宋体" w:cs="宋体"/>
          <w:b/>
          <w:bCs/>
          <w:spacing w:val="-1"/>
          <w:sz w:val="17"/>
          <w:szCs w:val="17"/>
        </w:rPr>
        <w:t>打印切削，以及翻模精修、烧结上釉、上色调改等具体操作，作为成本要素计入种植牙</w:t>
      </w:r>
      <w:r>
        <w:rPr>
          <w:rFonts w:hint="eastAsia" w:ascii="宋体" w:hAnsi="宋体" w:eastAsia="宋体" w:cs="宋体"/>
          <w:b/>
          <w:bCs/>
          <w:spacing w:val="-2"/>
          <w:sz w:val="17"/>
          <w:szCs w:val="17"/>
        </w:rPr>
        <w:t>牙冠价格，不再将上述牙冠加工制作的具体操作步骤作为医</w:t>
      </w:r>
      <w:r>
        <w:rPr>
          <w:rFonts w:hint="eastAsia" w:ascii="宋体" w:hAnsi="宋体" w:eastAsia="宋体" w:cs="宋体"/>
          <w:b/>
          <w:bCs/>
          <w:spacing w:val="-4"/>
          <w:sz w:val="17"/>
          <w:szCs w:val="17"/>
        </w:rPr>
        <w:t>疗服务价格项目向患者收费。</w:t>
      </w:r>
      <w:r>
        <w:rPr>
          <w:rFonts w:hint="eastAsia" w:ascii="宋体" w:hAnsi="宋体" w:eastAsia="宋体" w:cs="宋体"/>
          <w:b/>
          <w:bCs/>
          <w:spacing w:val="-1"/>
          <w:sz w:val="17"/>
          <w:szCs w:val="17"/>
        </w:rPr>
        <w:t>9.以上新增医疗服务价格项目参照现行各级分类“说明”执行。</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A272E4"/>
    <w:rsid w:val="28A27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spacing w:line="240" w:lineRule="auto"/>
      <w:ind w:firstLine="0"/>
    </w:pPr>
    <w:rPr>
      <w:rFonts w:ascii="宋体" w:hAnsi="Courier New" w:eastAsia="宋体" w:cs="Courier New"/>
      <w:sz w:val="21"/>
      <w:szCs w:val="21"/>
    </w:r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font11"/>
    <w:basedOn w:val="5"/>
    <w:qFormat/>
    <w:uiPriority w:val="0"/>
    <w:rPr>
      <w:rFonts w:hint="eastAsia" w:ascii="方正书宋_GBK" w:hAnsi="方正书宋_GBK" w:eastAsia="方正书宋_GBK" w:cs="方正书宋_GBK"/>
      <w:b/>
      <w:bCs/>
      <w:color w:val="000000"/>
      <w:sz w:val="22"/>
      <w:szCs w:val="22"/>
      <w:u w:val="none"/>
    </w:rPr>
  </w:style>
  <w:style w:type="character" w:customStyle="1" w:styleId="7">
    <w:name w:val="font01"/>
    <w:basedOn w:val="5"/>
    <w:qFormat/>
    <w:uiPriority w:val="0"/>
    <w:rPr>
      <w:rFonts w:ascii="Calibri" w:hAnsi="Calibri" w:cs="Calibri"/>
      <w:b/>
      <w:bCs/>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2023-04-20T02:04:00Z</dcterms:created>
  <dc:creator>Lenovo</dc:creator>
  <cp:lastModifiedBy>Lenovo</cp:lastModifiedBy>
  <dcterms:modified xsi:type="dcterms:W3CDTF">2023-04-20T02:04:50Z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