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592" w:lineRule="exact"/>
        <w:ind w:left="0" w:leftChars="0" w:right="0" w:rightChars="0" w:firstLine="0" w:firstLineChars="0"/>
        <w:jc w:val="center"/>
        <w:outlineLvl w:val="1"/>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pacing w:val="-23"/>
          <w:sz w:val="44"/>
          <w:szCs w:val="44"/>
          <w14:textFill>
            <w14:solidFill>
              <w14:schemeClr w14:val="tx1"/>
            </w14:solidFill>
          </w14:textFill>
        </w:rPr>
        <w:t>实行按疗效价值付费的中医优势病种中医临床路径</w:t>
      </w:r>
    </w:p>
    <w:p>
      <w:pPr>
        <w:keepNext w:val="0"/>
        <w:keepLines w:val="0"/>
        <w:pageBreakBefore w:val="0"/>
        <w:widowControl w:val="0"/>
        <w:kinsoku/>
        <w:wordWrap/>
        <w:overflowPunct w:val="0"/>
        <w:topLinePunct w:val="0"/>
        <w:autoSpaceDE/>
        <w:autoSpaceDN/>
        <w:bidi w:val="0"/>
        <w:adjustRightInd/>
        <w:snapToGrid/>
        <w:spacing w:line="592" w:lineRule="exact"/>
        <w:jc w:val="both"/>
        <w:textAlignment w:val="auto"/>
        <w:rPr>
          <w:rFonts w:hint="default" w:ascii="Times New Roman" w:hAnsi="Times New Roman" w:eastAsia="黑体" w:cs="Times New Roman"/>
          <w:bCs/>
          <w:color w:val="000000" w:themeColor="text1"/>
          <w:sz w:val="32"/>
          <w:szCs w:val="32"/>
          <w14:textFill>
            <w14:solidFill>
              <w14:schemeClr w14:val="tx1"/>
            </w14:solidFill>
          </w14:textFill>
        </w:rPr>
      </w:pPr>
    </w:p>
    <w:p>
      <w:pPr>
        <w:keepNext w:val="0"/>
        <w:keepLines w:val="0"/>
        <w:pageBreakBefore w:val="0"/>
        <w:kinsoku/>
        <w:wordWrap/>
        <w:topLinePunct w:val="0"/>
        <w:autoSpaceDE/>
        <w:autoSpaceDN/>
        <w:bidi w:val="0"/>
        <w:spacing w:line="592" w:lineRule="exact"/>
        <w:ind w:left="0" w:leftChars="0" w:right="0" w:rightChars="0" w:firstLine="0" w:firstLineChars="0"/>
        <w:jc w:val="center"/>
        <w:outlineLvl w:val="1"/>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脱肛（直肠脱垂）中医临床路径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路径说明：本路径适合于西医诊断为直肠脱垂，有直肠脱垂注射术适应症的患者。</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一、脱肛（直肠脱垂）中医临床路径标准住院流程</w:t>
      </w:r>
    </w:p>
    <w:p>
      <w:pPr>
        <w:pStyle w:val="28"/>
        <w:keepNext w:val="0"/>
        <w:keepLines w:val="0"/>
        <w:pageBreakBefore w:val="0"/>
        <w:widowControl w:val="0"/>
        <w:kinsoku/>
        <w:wordWrap/>
        <w:overflowPunct w:val="0"/>
        <w:topLinePunct w:val="0"/>
        <w:autoSpaceDE/>
        <w:autoSpaceDN/>
        <w:bidi w:val="0"/>
        <w:adjustRightInd/>
        <w:snapToGrid/>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中医诊断：第一诊断为脱肛病（TCD编码：A08.03.07）。</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西医诊断：第一诊断为直肠脱垂</w:t>
      </w:r>
      <w:bookmarkStart w:id="0" w:name="_Hlk133189910"/>
      <w:r>
        <w:rPr>
          <w:rFonts w:hint="default" w:ascii="Times New Roman" w:hAnsi="Times New Roman" w:eastAsia="仿宋_GB2312" w:cs="Times New Roman"/>
          <w:color w:val="000000" w:themeColor="text1"/>
          <w:sz w:val="32"/>
          <w14:textFill>
            <w14:solidFill>
              <w14:schemeClr w14:val="tx1"/>
            </w14:solidFill>
          </w14:textFill>
        </w:rPr>
        <w:t>（ICD-10编码：K62.300）</w:t>
      </w:r>
      <w:bookmarkEnd w:id="0"/>
      <w:r>
        <w:rPr>
          <w:rFonts w:hint="default" w:ascii="Times New Roman" w:hAnsi="Times New Roman" w:eastAsia="仿宋_GB2312" w:cs="Times New Roman"/>
          <w:color w:val="000000" w:themeColor="text1"/>
          <w:sz w:val="32"/>
          <w14:textFill>
            <w14:solidFill>
              <w14:schemeClr w14:val="tx1"/>
            </w14:solidFill>
          </w14:textFill>
        </w:rPr>
        <w:t>，行直肠脱垂注射治疗（17.98510）。</w:t>
      </w:r>
    </w:p>
    <w:p>
      <w:pPr>
        <w:pStyle w:val="28"/>
        <w:keepNext w:val="0"/>
        <w:keepLines w:val="0"/>
        <w:pageBreakBefore w:val="0"/>
        <w:widowControl w:val="0"/>
        <w:kinsoku/>
        <w:wordWrap/>
        <w:overflowPunct w:val="0"/>
        <w:topLinePunct w:val="0"/>
        <w:autoSpaceDE/>
        <w:autoSpaceDN/>
        <w:bidi w:val="0"/>
        <w:adjustRightInd/>
        <w:snapToGrid/>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疾病诊断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（1）中医诊断标准：参照中华中医药学会肛肠分会制定的脱肛病诊断标准（2002年版）、全国中医药行业高等教育“十三五”创新教材《中医肛肠病学》（何永恒、凌光烈主编，中国中医药出版社，2019年）。</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中国医师协会肛肠医师分会、中国医师协会肛肠医师分会盆底外科专业委员会、中国医师协会肛肠医师分会临床指南工作委员会联合制定的《直肠脱垂外科诊治中国专家共识（2022版）》。</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参照国家中医药管理局印发的“脱肛病（直肠脱垂）中医诊疗方案（2021年版）”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脱肛病（直肠脱垂）临床常见证候：</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气虚下陷证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肾气不固证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气血两虚证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湿热下注证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（三）治疗方案的选择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参照国家中医药管理局印发的“脱肛病（直肠脱垂）中医诊疗方案（2021年版）”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1.诊断明确，第一诊断为脱肛病（直肠脱垂）。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2.患者适合并接受中医临床路径方案。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Style w:val="30"/>
          <w:rFonts w:hint="default"/>
          <w:color w:val="000000" w:themeColor="text1"/>
          <w14:textFill>
            <w14:solidFill>
              <w14:schemeClr w14:val="tx1"/>
            </w14:solidFill>
          </w14:textFill>
        </w:rPr>
        <w:t>（四）标准住院日：</w:t>
      </w:r>
      <w:r>
        <w:rPr>
          <w:rFonts w:hint="default" w:ascii="Times New Roman" w:hAnsi="Times New Roman" w:eastAsia="仿宋_GB2312" w:cs="Times New Roman"/>
          <w:color w:val="000000" w:themeColor="text1"/>
          <w:sz w:val="32"/>
          <w14:textFill>
            <w14:solidFill>
              <w14:schemeClr w14:val="tx1"/>
            </w14:solidFill>
          </w14:textFill>
        </w:rPr>
        <w:t>10天≤住院日≤14天。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第一诊断必须符合脱肛病（TCD编码：A08.03.07）和直肠脱垂（ICD-10编码：K62.300）的患者。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主手术为直肠脱垂注射术，可兼有肛周常见疾病套扎术（RPH）/经肛吻合器直肠黏膜环切术（PPH）/经肛吻合器直肠切除术（STARR）/肛门成形术等手术方式，无手术禁忌证。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患者同意接受手术。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伴有以下情况患者不进入本路径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（1）肛门周围有急性脓肿。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（2）混合痔伴有痢疾或严重腹泻患者。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（3）严重心肺肝肾疾病或血液病患者。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（4）因腹腔肿瘤或门脉高压引起的混合痔。</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（5）孕妇。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（6）不能配合手术的精神病患者。</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四诊合参，收集该病种不同证候的主症、次证、舌、脉特点。注意证侯的动态变化。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（1）血常规＋血型、尿常规、大便常规＋隐血试验。</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（2）肝功能、肾功能、血糖、电解质。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（3）乙肝三对、输血前常规。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（5）胸片、心电图、三维直肠超声、肝胆胰脾双肾输尿管彩超，女性加做妇科B超。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（8）X线排粪造影。</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（9）电子肛门镜，或肛肠科常规检查（含直肠指诊、肛门镜检查）。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（10）肛门直肠测压。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（11）电子结肠镜。</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2.可选择的检查项目：根据病情需要而定，如MRI排粪造影、无痛电子结肠镜、肛直肠肌电测量、血脂、心肌酶谱、血沉、C反应蛋白等。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1.辨证选择口服中药汤剂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（1）气虚下陷证：补中益气，升提固脱</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（2）肾气不固证：健脾益气，补肾固脱</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（3）气血两虚证：益气养血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（4）湿热下注证：清热利湿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2.外治法</w:t>
      </w:r>
    </w:p>
    <w:p>
      <w:pPr>
        <w:keepNext w:val="0"/>
        <w:keepLines w:val="0"/>
        <w:pageBreakBefore w:val="0"/>
        <w:kinsoku/>
        <w:wordWrap/>
        <w:overflowPunct w:val="0"/>
        <w:topLinePunct w:val="0"/>
        <w:autoSpaceDE/>
        <w:autoSpaceDN/>
        <w:bidi w:val="0"/>
        <w:spacing w:line="592" w:lineRule="exact"/>
        <w:ind w:firstLine="616" w:firstLineChars="200"/>
        <w:jc w:val="both"/>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（1）中药外敷或中药塞药法：根据患者病情及创面情况选择。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（2）中药熏洗法：用于手术前后缓解症状，若行肛门成形术则需待拆线后使用。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3.外用中成药：益气养血、补肾固脱、清热祛湿。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4.手术治疗：直肠脱垂注射术，可兼有一种及以上其他手术方式（如肛周常见疾病套扎术（RPH）/经肛吻合器直肠黏膜环切术（PPH）/经肛吻合器直肠切除术（STARR）/肛门成形术）。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5.术后切口专科换药。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6.护理：辨证施护。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7.特色治疗：根据患者情况选用隔物灸、穴位贴敷治疗、中医定向透药、耳穴压豆等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8.术前伴中重度贫血者输血治疗。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（九）手术日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1.麻醉方式：连硬外麻醉、腰麻或全麻。</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2.手术方式：直肠脱垂注射术，可兼有肛周常见疾病套扎术（RPH）/经肛吻合器直肠黏膜环切术（PPH）/经肛吻合器直肠切除术（STARR）/肛门成形术等其他手术方式。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3.必要时输血。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4.病理：术后标本送病理检查。</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1．病情稳定，主要症状（脱出）消失或有所改善，能正常排便。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2．患者无发热，创面无渗出，无水肿。</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3．肛门无狭窄、功能正常。</w:t>
      </w:r>
    </w:p>
    <w:p>
      <w:pPr>
        <w:keepNext w:val="0"/>
        <w:keepLines w:val="0"/>
        <w:pageBreakBefore w:val="0"/>
        <w:kinsoku/>
        <w:wordWrap/>
        <w:overflowPunct w:val="0"/>
        <w:topLinePunct w:val="0"/>
        <w:autoSpaceDE/>
        <w:autoSpaceDN/>
        <w:bidi w:val="0"/>
        <w:spacing w:line="592" w:lineRule="exact"/>
        <w:ind w:firstLine="643" w:firstLineChars="200"/>
        <w:jc w:val="both"/>
        <w:rPr>
          <w:rFonts w:hint="default" w:ascii="Times New Roman" w:hAnsi="Times New Roman" w:eastAsia="仿宋_GB2312" w:cs="Times New Roman"/>
          <w:b/>
          <w:color w:val="000000" w:themeColor="text1"/>
          <w:sz w:val="32"/>
          <w14:textFill>
            <w14:solidFill>
              <w14:schemeClr w14:val="tx1"/>
            </w14:solidFill>
          </w14:textFill>
        </w:rPr>
      </w:pPr>
      <w:r>
        <w:rPr>
          <w:rFonts w:hint="default" w:ascii="Times New Roman" w:hAnsi="Times New Roman" w:eastAsia="仿宋_GB2312" w:cs="Times New Roman"/>
          <w:b/>
          <w:color w:val="000000" w:themeColor="text1"/>
          <w:sz w:val="32"/>
          <w14:textFill>
            <w14:solidFill>
              <w14:schemeClr w14:val="tx1"/>
            </w14:solidFill>
          </w14:textFill>
        </w:rPr>
        <w:t>（十一）有无变异及原因分析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1．病情加重，需要延长住院时间，增加住院费用。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2．合并有严重心脑血管疾病、内分泌疾病等其他系统疾病者，住院期间病情加重，需要特殊处理，导致住院时间延长、费用增加。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3．治疗过程中发生了病情变化，出现严重并发症时，退出本路径。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4．因患者及其家属意愿而影响本路径执行时，退出本路径。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bCs/>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bCs/>
          <w:color w:val="000000" w:themeColor="text1"/>
          <w:sz w:val="32"/>
          <w:szCs w:val="32"/>
          <w14:textFill>
            <w14:solidFill>
              <w14:schemeClr w14:val="tx1"/>
            </w14:solidFill>
          </w14:textFill>
        </w:rPr>
        <w:t>二、脱肛（直肠脱垂）中医临床路径住院表单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适用对象：第一诊断为脱肛病（直肠脱垂）（TCD编码：A08.03.07，ICD-10编码：K62.300）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10天≤标准住院日≤14天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天 </w:t>
      </w:r>
    </w:p>
    <w:tbl>
      <w:tblPr>
        <w:tblStyle w:val="9"/>
        <w:tblW w:w="48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2798"/>
        <w:gridCol w:w="2826"/>
        <w:gridCol w:w="260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时间</w:t>
            </w:r>
          </w:p>
        </w:tc>
        <w:tc>
          <w:tcPr>
            <w:tcW w:w="1576" w:type="pct"/>
            <w:vAlign w:val="top"/>
          </w:tcPr>
          <w:p>
            <w:pPr>
              <w:keepNext w:val="0"/>
              <w:keepLines w:val="0"/>
              <w:pageBreakBefore w:val="0"/>
              <w:widowControl w:val="0"/>
              <w:kinsoku/>
              <w:wordWrap/>
              <w:overflowPunct/>
              <w:topLinePunct w:val="0"/>
              <w:autoSpaceDE/>
              <w:autoSpaceDN/>
              <w:bidi w:val="0"/>
              <w:adjustRightInd/>
              <w:snapToGrid/>
              <w:spacing w:line="250" w:lineRule="exact"/>
              <w:ind w:firstLine="0" w:firstLineChars="0"/>
              <w:jc w:val="left"/>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592" w:type="pct"/>
            <w:vAlign w:val="top"/>
          </w:tcPr>
          <w:p>
            <w:pPr>
              <w:keepNext w:val="0"/>
              <w:keepLines w:val="0"/>
              <w:pageBreakBefore w:val="0"/>
              <w:widowControl w:val="0"/>
              <w:kinsoku/>
              <w:wordWrap/>
              <w:overflowPunct/>
              <w:topLinePunct w:val="0"/>
              <w:autoSpaceDE/>
              <w:autoSpaceDN/>
              <w:bidi w:val="0"/>
              <w:adjustRightInd/>
              <w:snapToGrid/>
              <w:spacing w:line="250" w:lineRule="exact"/>
              <w:ind w:firstLine="0" w:firstLineChars="0"/>
              <w:jc w:val="left"/>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（第2天）</w:t>
            </w:r>
          </w:p>
        </w:tc>
        <w:tc>
          <w:tcPr>
            <w:tcW w:w="1473" w:type="pct"/>
            <w:gridSpan w:val="2"/>
            <w:vAlign w:val="top"/>
          </w:tcPr>
          <w:p>
            <w:pPr>
              <w:keepNext w:val="0"/>
              <w:keepLines w:val="0"/>
              <w:pageBreakBefore w:val="0"/>
              <w:widowControl w:val="0"/>
              <w:kinsoku/>
              <w:wordWrap/>
              <w:overflowPunct/>
              <w:topLinePunct w:val="0"/>
              <w:autoSpaceDE/>
              <w:autoSpaceDN/>
              <w:bidi w:val="0"/>
              <w:adjustRightInd/>
              <w:snapToGrid/>
              <w:spacing w:line="250" w:lineRule="exact"/>
              <w:ind w:firstLine="0" w:firstLineChars="0"/>
              <w:jc w:val="left"/>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left"/>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（第3日，手术日）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诊</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疗</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作</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□开出各项检查单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□采集中医四诊信息</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进行中医证候判断</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□完成病历书写和病程记录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初步拟定诊疗方案</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与家属沟通 ，交代病情及注意事项</w:t>
            </w: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实施各项检查</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完成上级医师查房记录，完成术前评估，确定手术方案</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□向家属交代病情和手术事项</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□签署“手术知情同意书”</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□下达手术医嘱、提交手术通知单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□麻醉医生查看病人，签署“麻醉知情同意书”</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sz w:val="18"/>
                <w:szCs w:val="18"/>
                <w:lang w:eastAsia="en-US"/>
                <w14:textFill>
                  <w14:solidFill>
                    <w14:schemeClr w14:val="tx1"/>
                  </w14:solidFill>
                </w14:textFill>
              </w:rPr>
              <w:t>完成术前小结</w:t>
            </w: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□完成手术治疗</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24小时内完成手术记录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□完成术后首次病程记录</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□观察术后生命体征及创面渗血情况</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了解术后首次排尿情况，必要时留置导尿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重</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点</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嘱</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肛肠科护理常规</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□对症治疗（必要时）</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□三大常规+粪便隐血</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□乙肝三对、输血前常规</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□肝功能、肾功能、电解质、血脂常规、血糖</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心电图、胸部X线片</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□腹部彩超</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□电子结肠镜、排粪造影、肛门直肠测压</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□对症处理</w:t>
            </w: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□肛肠科护理常规</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□对症治疗</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术前医嘱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□术前饮食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□术区备皮</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□术前肠道准备</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□对症处理</w:t>
            </w: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肛肠科术后护理常规</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□禁食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□控制大便</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□预防感染、疼痛、出血，加强补液、预防电解质紊乱 </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lang w:eastAsia="en-US"/>
                <w14:textFill>
                  <w14:solidFill>
                    <w14:schemeClr w14:val="tx1"/>
                  </w14:solidFill>
                </w14:textFill>
              </w:rPr>
              <w:t>对症处理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护</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理</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作</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介绍入院各项检查前注意事项</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□完成入院检查的护理操作</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□根据医嘱执行各项术前准备</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□完成常规生命体征的监测</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□交代术前注意事项</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□术前中医情志疏导、健康教育、 饮食指导</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□晨晚间护理、夜间巡视</w:t>
            </w: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□交接病人，检查生命体征及用药情况</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□随时观察患者情况</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指导术后饮食</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□协助安全下床</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□告知注意事项</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□指导术后首次排尿</w:t>
            </w:r>
          </w:p>
          <w:p>
            <w:pPr>
              <w:keepNext w:val="0"/>
              <w:keepLines w:val="0"/>
              <w:pageBreakBefore w:val="0"/>
              <w:widowControl w:val="0"/>
              <w:kinsoku/>
              <w:wordWrap/>
              <w:overflowPunct/>
              <w:topLinePunct w:val="0"/>
              <w:autoSpaceDE/>
              <w:autoSpaceDN/>
              <w:bidi w:val="0"/>
              <w:adjustRightInd/>
              <w:snapToGrid/>
              <w:spacing w:line="25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□晨晚间护理、夜间巡视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病情</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变异</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记录</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责任</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护士</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签名</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57" w:type="pct"/>
            <w:vAlign w:val="center"/>
          </w:tcPr>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医师</w:t>
            </w:r>
          </w:p>
          <w:p>
            <w:pPr>
              <w:keepNext w:val="0"/>
              <w:keepLines w:val="0"/>
              <w:pageBreakBefore w:val="0"/>
              <w:widowControl w:val="0"/>
              <w:kinsoku/>
              <w:wordWrap/>
              <w:overflowPunct/>
              <w:topLinePunct w:val="0"/>
              <w:autoSpaceDE/>
              <w:autoSpaceDN/>
              <w:bidi w:val="0"/>
              <w:adjustRightInd/>
              <w:snapToGrid/>
              <w:spacing w:line="25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签名</w:t>
            </w:r>
          </w:p>
        </w:tc>
        <w:tc>
          <w:tcPr>
            <w:tcW w:w="1576"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92" w:type="pct"/>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473" w:type="pct"/>
            <w:gridSpan w:val="2"/>
          </w:tcPr>
          <w:p>
            <w:pPr>
              <w:keepNext w:val="0"/>
              <w:keepLines w:val="0"/>
              <w:pageBreakBefore w:val="0"/>
              <w:widowControl w:val="0"/>
              <w:kinsoku/>
              <w:wordWrap/>
              <w:overflowPunct/>
              <w:topLinePunct w:val="0"/>
              <w:autoSpaceDE/>
              <w:autoSpaceDN/>
              <w:bidi w:val="0"/>
              <w:adjustRightInd/>
              <w:snapToGrid/>
              <w:spacing w:line="25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94"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时间</w:t>
            </w:r>
          </w:p>
        </w:tc>
        <w:tc>
          <w:tcPr>
            <w:tcW w:w="1576" w:type="pct"/>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（第4-5日，术后第1-2日）</w:t>
            </w:r>
          </w:p>
        </w:tc>
        <w:tc>
          <w:tcPr>
            <w:tcW w:w="1592" w:type="pct"/>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（第6-9日，术后第3-6日）</w:t>
            </w:r>
          </w:p>
        </w:tc>
        <w:tc>
          <w:tcPr>
            <w:tcW w:w="1469" w:type="pct"/>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（第10日，出院日）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66"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诊</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疗</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作</w:t>
            </w:r>
          </w:p>
        </w:tc>
        <w:tc>
          <w:tcPr>
            <w:tcW w:w="157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□医师查房，观察术后局部情况</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□卧床休息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禁食，控制大便</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□术后专科换药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92"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□上级医师查房，观察局部情况</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流质-半流质-普食逐步过渡</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□观察手术结扎线或者直肠吻合口钛钉脱落情况</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□术后换药换药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□中医辨证施治</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□中药熏洗坐浴</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□理疗</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□疗效评估，确定出院时间。</w:t>
            </w:r>
          </w:p>
        </w:tc>
        <w:tc>
          <w:tcPr>
            <w:tcW w:w="1469"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□向患者交代出院注意事项、复查日期</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□指导患者出院后功能锻炼、预防常识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□通知出院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320"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重</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点</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嘱</w:t>
            </w:r>
          </w:p>
        </w:tc>
        <w:tc>
          <w:tcPr>
            <w:tcW w:w="157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□肛肠科术后护理常规</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□禁食，控制大便</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□预防感染、出血、疼痛，护胃，加强补液</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□专科换药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□中医辨证施治</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□辨证使用中成药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□中医辨证施护</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□对症处理</w:t>
            </w:r>
          </w:p>
        </w:tc>
        <w:tc>
          <w:tcPr>
            <w:tcW w:w="1592"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lang w:eastAsia="zh-CN"/>
                <w14:textFill>
                  <w14:solidFill>
                    <w14:schemeClr w14:val="tx1"/>
                  </w14:solidFill>
                </w14:textFill>
              </w:rPr>
              <w:t>（</w:t>
            </w:r>
            <w:r>
              <w:rPr>
                <w:rFonts w:hint="eastAsia" w:ascii="方正书宋简体" w:hAnsi="方正书宋简体" w:eastAsia="方正书宋简体" w:cs="方正书宋简体"/>
                <w:color w:val="000000" w:themeColor="text1"/>
                <w:sz w:val="18"/>
                <w:szCs w:val="18"/>
                <w14:textFill>
                  <w14:solidFill>
                    <w14:schemeClr w14:val="tx1"/>
                  </w14:solidFill>
                </w14:textFill>
              </w:rPr>
              <w:t>肛肠科术后护理常规</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□专科换药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□辨证使用中药汤剂或中成药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□理疗</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□对症处理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□中医辨证施护</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□复查相关检查</w:t>
            </w:r>
          </w:p>
        </w:tc>
        <w:tc>
          <w:tcPr>
            <w:tcW w:w="1469"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057"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要</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护</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理</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工</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作</w:t>
            </w:r>
          </w:p>
        </w:tc>
        <w:tc>
          <w:tcPr>
            <w:tcW w:w="157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□术后康复、健康教育</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□术后饮食指导</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□协助患者生活护理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□晨晚间护理、夜间巡视</w:t>
            </w:r>
          </w:p>
        </w:tc>
        <w:tc>
          <w:tcPr>
            <w:tcW w:w="1592"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□术后康复、健康教育</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□术后饮食指导</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□协助患者生活护理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□晨晚间护理、夜间巡视</w:t>
            </w:r>
          </w:p>
        </w:tc>
        <w:tc>
          <w:tcPr>
            <w:tcW w:w="1469"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□交代出院后注意事项，进行术后卫生宣教</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□指导出院带药的用法</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□协助办理出院手续</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923"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病情</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变异</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记录</w:t>
            </w:r>
          </w:p>
        </w:tc>
        <w:tc>
          <w:tcPr>
            <w:tcW w:w="1576"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c>
          <w:tcPr>
            <w:tcW w:w="1592"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c>
          <w:tcPr>
            <w:tcW w:w="1469"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50"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责任</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护士</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签名</w:t>
            </w:r>
          </w:p>
        </w:tc>
        <w:tc>
          <w:tcPr>
            <w:tcW w:w="1576"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92"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469"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850" w:hRule="atLeast"/>
          <w:jc w:val="center"/>
        </w:trPr>
        <w:tc>
          <w:tcPr>
            <w:tcW w:w="357" w:type="pct"/>
            <w:vAlign w:val="center"/>
          </w:tcPr>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医师</w:t>
            </w:r>
          </w:p>
          <w:p>
            <w:pPr>
              <w:keepNext w:val="0"/>
              <w:keepLines w:val="0"/>
              <w:pageBreakBefore w:val="0"/>
              <w:widowControl w:val="0"/>
              <w:kinsoku/>
              <w:wordWrap/>
              <w:topLinePunct w:val="0"/>
              <w:autoSpaceDE/>
              <w:autoSpaceDN/>
              <w:bidi w:val="0"/>
              <w:adjustRightInd/>
              <w:snapToGrid/>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签名</w:t>
            </w:r>
          </w:p>
        </w:tc>
        <w:tc>
          <w:tcPr>
            <w:tcW w:w="1576"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92"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469" w:type="pct"/>
          </w:tcPr>
          <w:p>
            <w:pPr>
              <w:keepNext w:val="0"/>
              <w:keepLines w:val="0"/>
              <w:pageBreakBefore w:val="0"/>
              <w:widowControl w:val="0"/>
              <w:kinsoku/>
              <w:wordWrap/>
              <w:topLinePunct w:val="0"/>
              <w:autoSpaceDE/>
              <w:autoSpaceDN/>
              <w:bidi w:val="0"/>
              <w:adjustRightInd/>
              <w:snapToGrid/>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bl>
    <w:p>
      <w:pPr>
        <w:keepNext w:val="0"/>
        <w:keepLines w:val="0"/>
        <w:pageBreakBefore w:val="0"/>
        <w:kinsoku/>
        <w:wordWrap/>
        <w:topLinePunct w:val="0"/>
        <w:autoSpaceDE/>
        <w:autoSpaceDN/>
        <w:bidi w:val="0"/>
        <w:spacing w:line="592" w:lineRule="exact"/>
        <w:ind w:left="0" w:leftChars="0" w:right="0" w:rightChars="0" w:firstLine="0" w:firstLineChars="0"/>
        <w:jc w:val="center"/>
        <w:outlineLvl w:val="1"/>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36"/>
          <w:szCs w:val="36"/>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锁骨骨折中医临床路径</w:t>
      </w:r>
    </w:p>
    <w:p>
      <w:pPr>
        <w:keepNext w:val="0"/>
        <w:keepLines w:val="0"/>
        <w:pageBreakBefore w:val="0"/>
        <w:kinsoku/>
        <w:wordWrap/>
        <w:overflowPunct w:val="0"/>
        <w:topLinePunct w:val="0"/>
        <w:autoSpaceDE/>
        <w:autoSpaceDN/>
        <w:bidi w:val="0"/>
        <w:spacing w:line="592" w:lineRule="exact"/>
        <w:ind w:firstLine="480" w:firstLineChars="200"/>
        <w:jc w:val="both"/>
        <w:rPr>
          <w:rFonts w:hint="default" w:ascii="Times New Roman" w:hAnsi="Times New Roman" w:eastAsia="黑体" w:cs="Times New Roman"/>
          <w:color w:val="000000" w:themeColor="text1"/>
          <w:sz w:val="2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一、锁骨骨折中医临床路径标准住院流程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第一诊断为锁骨骨折（TCD编码：BGG000、ICD-10编码：S42.00</w:t>
      </w:r>
      <w:r>
        <w:rPr>
          <w:rFonts w:hint="eastAsia" w:ascii="Times New Roman" w:hAnsi="Times New Roman" w:eastAsia="仿宋_GB2312" w:cs="Times New Roman"/>
          <w:color w:val="000000" w:themeColor="text1"/>
          <w:sz w:val="32"/>
          <w:lang w:val="en-US" w:eastAsia="zh-CN"/>
          <w14:textFill>
            <w14:solidFill>
              <w14:schemeClr w14:val="tx1"/>
            </w14:solidFill>
          </w14:textFill>
        </w:rPr>
        <w:t>0</w:t>
      </w:r>
      <w:r>
        <w:rPr>
          <w:rFonts w:hint="default" w:ascii="Times New Roman" w:hAnsi="Times New Roman" w:eastAsia="仿宋_GB2312" w:cs="Times New Roman"/>
          <w:color w:val="000000" w:themeColor="text1"/>
          <w:sz w:val="32"/>
          <w14:textFill>
            <w14:solidFill>
              <w14:schemeClr w14:val="tx1"/>
            </w14:solidFill>
          </w14:textFill>
        </w:rPr>
        <w:t>）。</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青枝型骨折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横断型骨折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粉碎型骨折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参照“国家中医药管理局‘十一五’重点专科协作组锁骨骨折诊疗方案”。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锁骨骨折临床常见的证型：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参照“国家中医药管理局‘十一五’重点专科协作组锁骨骨折诊疗方案”。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诊断明确，第一诊断为锁骨骨折。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（四）标准住院日为≥10天。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第一诊断必须符合锁骨骨折（TCD编码：BGG000，ICD-10编码：S42.001）的患者。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外伤引起的单纯性、新鲜闭合锁骨骨折，有闭合复位外固定适应证。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（9）锁骨正位X线片，必要时CT检查</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可选择的检查项目：根据病情需要而定，如血脂、无机元素等。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正骨手法复位治疗：适用于有移位的锁骨骨折。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外固定治疗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（1）三角巾悬吊：适用于幼儿青枝骨折或其它不全骨折。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（2）“8”字绷带固定或锁骨带固定。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护理：辨证施护</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3.肘腕关节活动良好；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4.没有需要住院治疗的并发症。</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因患者及其家属意愿而影响本路径执行时，退出本路径。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二、锁骨骨折中医临床路径住院表单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适用对象：第一诊断为锁骨骨折（TCD编码：BGG000，ICD-10编码：S42.001）</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患者姓名：</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性别：</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年龄：</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门诊号：</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住院号：</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发病时间：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时 住院日期：</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 出院日期：</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ind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标准住院日天 ≥10天              实际住院日：</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天</w:t>
      </w:r>
    </w:p>
    <w:tbl>
      <w:tblPr>
        <w:tblStyle w:val="9"/>
        <w:tblW w:w="48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1"/>
        <w:gridCol w:w="2878"/>
        <w:gridCol w:w="2718"/>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时间</w:t>
            </w:r>
          </w:p>
        </w:tc>
        <w:tc>
          <w:tcPr>
            <w:tcW w:w="1621"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531"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（第2天）</w:t>
            </w:r>
          </w:p>
        </w:tc>
        <w:tc>
          <w:tcPr>
            <w:tcW w:w="1530"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 w:type="pct"/>
            <w:textDirection w:val="tbRlV"/>
            <w:vAlign w:val="center"/>
          </w:tcPr>
          <w:p>
            <w:pPr>
              <w:keepNext w:val="0"/>
              <w:keepLines w:val="0"/>
              <w:pageBreakBefore w:val="0"/>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主要诊疗工作</w:t>
            </w:r>
          </w:p>
        </w:tc>
        <w:tc>
          <w:tcPr>
            <w:tcW w:w="162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□麻醉（必要时）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□与家属沟通，交代病情及注意事项</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53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□完成上级医师查房及记录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□观察血运、感觉、功能活动、外固定松紧度等情况</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□完成各项辅助检查</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530"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 w:type="pct"/>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重点医嘱</w:t>
            </w:r>
          </w:p>
        </w:tc>
        <w:tc>
          <w:tcPr>
            <w:tcW w:w="162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□肝功能、肾功能</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□开具中药处方</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□中医特色治疗，如：隔物灸</w:t>
            </w:r>
          </w:p>
        </w:tc>
        <w:tc>
          <w:tcPr>
            <w:tcW w:w="153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530"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工作</w:t>
            </w:r>
          </w:p>
        </w:tc>
        <w:tc>
          <w:tcPr>
            <w:tcW w:w="162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53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530"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adjustRightInd w:val="0"/>
              <w:snapToGrid w:val="0"/>
              <w:spacing w:line="240" w:lineRule="exact"/>
              <w:ind w:left="180" w:leftChars="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31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记录</w:t>
            </w:r>
          </w:p>
        </w:tc>
        <w:tc>
          <w:tcPr>
            <w:tcW w:w="162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c>
          <w:tcPr>
            <w:tcW w:w="153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c>
          <w:tcPr>
            <w:tcW w:w="1530"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316"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责任护士签名</w:t>
            </w:r>
          </w:p>
        </w:tc>
        <w:tc>
          <w:tcPr>
            <w:tcW w:w="162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3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30"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16" w:type="pct"/>
            <w:vAlign w:val="center"/>
          </w:tcPr>
          <w:p>
            <w:pPr>
              <w:keepNext w:val="0"/>
              <w:keepLines w:val="0"/>
              <w:pageBreakBefore w:val="0"/>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医师</w:t>
            </w:r>
          </w:p>
          <w:p>
            <w:pPr>
              <w:keepNext w:val="0"/>
              <w:keepLines w:val="0"/>
              <w:pageBreakBefore w:val="0"/>
              <w:kinsoku/>
              <w:wordWrap/>
              <w:overflowPunct/>
              <w:topLinePunct w:val="0"/>
              <w:autoSpaceDE/>
              <w:autoSpaceDN/>
              <w:bidi w:val="0"/>
              <w:adjustRightInd w:val="0"/>
              <w:snapToGrid w:val="0"/>
              <w:spacing w:line="240" w:lineRule="exact"/>
              <w:ind w:left="-63" w:leftChars="-30" w:right="-63" w:rightChars="-30" w:firstLine="0" w:firstLineChars="0"/>
              <w:jc w:val="center"/>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签名</w:t>
            </w:r>
          </w:p>
        </w:tc>
        <w:tc>
          <w:tcPr>
            <w:tcW w:w="162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31"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1530" w:type="pct"/>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9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41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7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340" w:type="pct"/>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284" w:type="pct"/>
            <w:vAlign w:val="top"/>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75" w:type="pct"/>
            <w:textDirection w:val="tbRlV"/>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340"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284"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75" w:type="pct"/>
            <w:textDirection w:val="tbRlV"/>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340"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□开具中药处方</w:t>
            </w:r>
          </w:p>
        </w:tc>
        <w:tc>
          <w:tcPr>
            <w:tcW w:w="2284"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7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340" w:type="pct"/>
          </w:tcPr>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284" w:type="pct"/>
          </w:tcPr>
          <w:p>
            <w:pPr>
              <w:keepNext w:val="0"/>
              <w:keepLines w:val="0"/>
              <w:pageBreakBefore w:val="0"/>
              <w:widowControl/>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kinsoku/>
              <w:wordWrap/>
              <w:overflowPunct/>
              <w:topLinePunct w:val="0"/>
              <w:autoSpaceDE/>
              <w:autoSpaceDN/>
              <w:bidi w:val="0"/>
              <w:adjustRightInd w:val="0"/>
              <w:snapToGrid w:val="0"/>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7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340"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284" w:type="pc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 w:type="pct"/>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40" w:type="pct"/>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84" w:type="pct"/>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75" w:type="pct"/>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40" w:type="pct"/>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84" w:type="pct"/>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eastAsia="方正小标宋简体" w:cs="Times New Roman"/>
          <w:color w:val="000000" w:themeColor="text1"/>
          <w:sz w:val="36"/>
          <w:szCs w:val="36"/>
          <w14:textFill>
            <w14:solidFill>
              <w14:schemeClr w14:val="tx1"/>
            </w14:solidFill>
          </w14:textFill>
        </w:rPr>
      </w:pPr>
    </w:p>
    <w:p>
      <w:pPr>
        <w:keepNext w:val="0"/>
        <w:keepLines w:val="0"/>
        <w:pageBreakBefore w:val="0"/>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36"/>
          <w:szCs w:val="36"/>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肱骨上端骨折中医临床路径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一、肱骨上端骨折中医临床路径标准住院流程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第一诊断为肱骨上端骨折（TCD编码：BGG000、ICD-10编码：S42.200）。</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外展型骨折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内收型骨折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粉碎型骨折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参照国家中医药管理局重点专科协作组制定的《肱骨上端骨折中医诊疗方案（试行）》。</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肱骨上端骨折临床常见的证型：</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参照国家中医药管理局重点专科协作组制定的《肱骨上端骨折中医诊疗方案（试行）》。</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1．诊断明确，第一诊断为肱骨上端骨折。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2．患者适合并接受中医治疗。</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（四）标准住院日为≥10天。</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第一诊断必须符合肱骨上端骨折（TCD编码：BGG000，ICD-10编码：S42.200）的患者。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外伤引起的单纯性、新鲜闭合肱骨上端骨折，有闭合复位外固定适应证。</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（1）多发骨折，尤其同一肢体多发骨折者。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（2）患处严重皮肤疾病者。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（3）合并其他无法耐受闭合复位外固定治疗的疾病（如严重心脑血管疾病、癫痫、帕金森病）等。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（5）血糖</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（6）凝血功能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（7）心电图</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（8）胸部X线片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（9）肩关节正侧位片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可选择的检查项目：根据病情需要而定，如CT、MRI、心脏彩超、动态心电图、肺功能等。</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手法复位治疗：适用于有移位的肱骨上端骨折。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外固定治疗</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（1）三角巾悬吊：适用于无移位骨折或不全骨折。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（2）超关节夹板固定：适用于复位后骨折处稳定的外展型骨折或粉碎型骨折。</w:t>
      </w:r>
    </w:p>
    <w:p>
      <w:pPr>
        <w:keepNext w:val="0"/>
        <w:keepLines w:val="0"/>
        <w:pageBreakBefore w:val="0"/>
        <w:widowControl w:val="0"/>
        <w:kinsoku/>
        <w:wordWrap/>
        <w:overflowPunct w:val="0"/>
        <w:topLinePunct w:val="0"/>
        <w:autoSpaceDE/>
        <w:autoSpaceDN/>
        <w:bidi w:val="0"/>
        <w:adjustRightInd/>
        <w:snapToGrid/>
        <w:spacing w:line="570" w:lineRule="exact"/>
        <w:ind w:firstLine="616" w:firstLineChars="200"/>
        <w:jc w:val="both"/>
        <w:textAlignment w:val="auto"/>
        <w:rPr>
          <w:rFonts w:hint="default" w:ascii="Times New Roman" w:hAnsi="Times New Roman" w:eastAsia="仿宋_GB2312" w:cs="Times New Roman"/>
          <w:color w:val="000000" w:themeColor="text1"/>
          <w:spacing w:val="-6"/>
          <w:sz w:val="32"/>
          <w14:textFill>
            <w14:solidFill>
              <w14:schemeClr w14:val="tx1"/>
            </w14:solidFill>
          </w14:textFill>
        </w:rPr>
      </w:pPr>
      <w:r>
        <w:rPr>
          <w:rFonts w:hint="default" w:ascii="Times New Roman" w:hAnsi="Times New Roman" w:eastAsia="仿宋_GB2312" w:cs="Times New Roman"/>
          <w:color w:val="000000" w:themeColor="text1"/>
          <w:spacing w:val="-6"/>
          <w:sz w:val="32"/>
          <w14:textFill>
            <w14:solidFill>
              <w14:schemeClr w14:val="tx1"/>
            </w14:solidFill>
          </w14:textFill>
        </w:rPr>
        <w:t>3.闭合复位穿针内固定：适用于复位后骨折处不稳定的患者。</w:t>
      </w:r>
    </w:p>
    <w:p>
      <w:pPr>
        <w:keepNext w:val="0"/>
        <w:keepLines w:val="0"/>
        <w:pageBreakBefore w:val="0"/>
        <w:widowControl w:val="0"/>
        <w:kinsoku/>
        <w:wordWrap/>
        <w:overflowPunct w:val="0"/>
        <w:topLinePunct w:val="0"/>
        <w:autoSpaceDE/>
        <w:autoSpaceDN/>
        <w:bidi w:val="0"/>
        <w:adjustRightInd/>
        <w:snapToGrid/>
        <w:spacing w:line="570" w:lineRule="exact"/>
        <w:ind w:firstLine="596" w:firstLineChars="200"/>
        <w:jc w:val="distribute"/>
        <w:textAlignment w:val="auto"/>
        <w:rPr>
          <w:rFonts w:hint="default" w:ascii="Times New Roman" w:hAnsi="Times New Roman" w:eastAsia="仿宋_GB2312" w:cs="Times New Roman"/>
          <w:color w:val="000000" w:themeColor="text1"/>
          <w:spacing w:val="-11"/>
          <w:sz w:val="32"/>
          <w14:textFill>
            <w14:solidFill>
              <w14:schemeClr w14:val="tx1"/>
            </w14:solidFill>
          </w14:textFill>
        </w:rPr>
      </w:pPr>
      <w:r>
        <w:rPr>
          <w:rFonts w:hint="eastAsia" w:ascii="Times New Roman" w:hAnsi="Times New Roman" w:eastAsia="仿宋_GB2312" w:cs="Times New Roman"/>
          <w:color w:val="000000" w:themeColor="text1"/>
          <w:spacing w:val="-1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pacing w:val="-11"/>
          <w:sz w:val="32"/>
          <w14:textFill>
            <w14:solidFill>
              <w14:schemeClr w14:val="tx1"/>
            </w14:solidFill>
          </w14:textFill>
        </w:rPr>
        <w:t>辨证选择口服中药汤剂或中成药。配合外敷中药膏剂或洗剂。</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5.针灸治疗。</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6.其他疗法。</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14:textFill>
            <w14:solidFill>
              <w14:schemeClr w14:val="tx1"/>
            </w14:solidFill>
          </w14:textFill>
        </w:rPr>
        <w:t>功能锻炼。</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14:textFill>
            <w14:solidFill>
              <w14:schemeClr w14:val="tx1"/>
            </w14:solidFill>
          </w14:textFill>
        </w:rPr>
        <w:t>护理调摄。</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1.骨折处肿痛明显缓解；</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2.X线片复查显示骨折对位、对线满意；</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3.肘腕关节活动良好；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4.没有需要住院治疗的并发症。</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合并心血管疾病、内分泌疾病等其他系统疾病者，住院期间病情加重，需要特殊处理，导致住院时间延长、费用增加。</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3．因患者及其家属意愿而影响本路径执行时，退出本路径。</w:t>
      </w:r>
      <w:r>
        <w:rPr>
          <w:rFonts w:hint="default" w:ascii="Times New Roman" w:hAnsi="Times New Roman" w:eastAsia="仿宋_GB2312" w:cs="Times New Roman"/>
          <w:color w:val="000000" w:themeColor="text1"/>
          <w:sz w:val="32"/>
          <w14:textFill>
            <w14:solidFill>
              <w14:schemeClr w14:val="tx1"/>
            </w14:solidFill>
          </w14:textFill>
        </w:rPr>
        <w:br w:type="page"/>
      </w:r>
      <w:r>
        <w:rPr>
          <w:rFonts w:hint="eastAsia" w:ascii="Times New Roman" w:hAnsi="Times New Roman" w:eastAsia="仿宋_GB2312" w:cs="Times New Roman"/>
          <w:color w:val="000000" w:themeColor="text1"/>
          <w:sz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14:textFill>
            <w14:solidFill>
              <w14:schemeClr w14:val="tx1"/>
            </w14:solidFill>
          </w14:textFill>
        </w:rPr>
        <w:t>二、肱骨上端骨折中医临床路径住院表单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适用对象：第一诊断为肱骨上端骨折（TCD编码：BGG000，ICD-10编码：S42.200）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标准住院日≥10天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3104"/>
        <w:gridCol w:w="2647"/>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367"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745"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488"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398"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67"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745"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w:t>
            </w:r>
            <w:r>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488"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39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367"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745"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□开具中药处方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□中医特色治疗，如：隔物灸</w:t>
            </w:r>
          </w:p>
        </w:tc>
        <w:tc>
          <w:tcPr>
            <w:tcW w:w="148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39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367"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745"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48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39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7"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745"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48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39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7"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745"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8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39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7" w:type="pct"/>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745"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8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398"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overflowPunct w:val="0"/>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858" w:type="pct"/>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5"/>
        <w:gridCol w:w="4162"/>
        <w:gridCol w:w="3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9"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363" w:type="pct"/>
            <w:vAlign w:val="center"/>
          </w:tcPr>
          <w:p>
            <w:pPr>
              <w:keepNext w:val="0"/>
              <w:keepLines w:val="0"/>
              <w:pageBreakBefore w:val="0"/>
              <w:widowControl/>
              <w:kinsoku/>
              <w:wordWrap/>
              <w:topLinePunct w:val="0"/>
              <w:autoSpaceDE/>
              <w:autoSpaceDN/>
              <w:bidi w:val="0"/>
              <w:adjustRightInd w:val="0"/>
              <w:snapToGrid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246"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auto"/>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trPr>
        <w:tc>
          <w:tcPr>
            <w:tcW w:w="389" w:type="pct"/>
            <w:textDirection w:val="tbRlV"/>
            <w:vAlign w:val="center"/>
          </w:tcPr>
          <w:p>
            <w:pPr>
              <w:keepNext w:val="0"/>
              <w:keepLines w:val="0"/>
              <w:pageBreakBefore w:val="0"/>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363"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24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389" w:type="pct"/>
            <w:textDirection w:val="tbRlV"/>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363"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24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389"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363"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246" w:type="pct"/>
          </w:tcPr>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widowControl w:val="0"/>
              <w:kinsoku/>
              <w:wordWrap/>
              <w:overflowPunct/>
              <w:topLinePunct w:val="0"/>
              <w:autoSpaceDE/>
              <w:autoSpaceDN/>
              <w:bidi w:val="0"/>
              <w:adjustRightInd/>
              <w:snapToGrid/>
              <w:spacing w:line="240" w:lineRule="auto"/>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89"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363" w:type="pct"/>
            <w:vAlign w:val="center"/>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246" w:type="pct"/>
            <w:vAlign w:val="center"/>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9" w:type="pct"/>
            <w:vAlign w:val="center"/>
          </w:tcPr>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63" w:type="pct"/>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46" w:type="pct"/>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89" w:type="pct"/>
            <w:vAlign w:val="center"/>
          </w:tcPr>
          <w:p>
            <w:pPr>
              <w:keepNext w:val="0"/>
              <w:keepLines w:val="0"/>
              <w:pageBreakBefore w:val="0"/>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auto"/>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63" w:type="pct"/>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46" w:type="pct"/>
          </w:tcPr>
          <w:p>
            <w:pPr>
              <w:keepNext w:val="0"/>
              <w:keepLines w:val="0"/>
              <w:pageBreakBefore w:val="0"/>
              <w:widowControl/>
              <w:kinsoku/>
              <w:wordWrap/>
              <w:topLinePunct w:val="0"/>
              <w:autoSpaceDE/>
              <w:autoSpaceDN/>
              <w:bidi w:val="0"/>
              <w:spacing w:line="240" w:lineRule="auto"/>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肱骨干骨折中医临床路径</w:t>
      </w:r>
    </w:p>
    <w:p>
      <w:pPr>
        <w:keepNext w:val="0"/>
        <w:keepLines w:val="0"/>
        <w:pageBreakBefore w:val="0"/>
        <w:widowControl w:val="0"/>
        <w:kinsoku/>
        <w:wordWrap/>
        <w:overflowPunct w:val="0"/>
        <w:topLinePunct w:val="0"/>
        <w:autoSpaceDE/>
        <w:autoSpaceDN/>
        <w:bidi w:val="0"/>
        <w:adjustRightInd/>
        <w:snapToGrid/>
        <w:spacing w:line="592" w:lineRule="exact"/>
        <w:jc w:val="both"/>
        <w:textAlignment w:val="auto"/>
        <w:rPr>
          <w:rFonts w:hint="default" w:ascii="Times New Roman" w:hAnsi="Times New Roman" w:cs="Times New Roman"/>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一、肱骨干骨折中医临床路径标准住院流程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第一诊断为肱骨干骨折（TCD编码：BGG000、ICD-10编码：S42.300）。</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上1/3骨折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中1/3骨折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下1/3骨折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参照“国家中医药管理局‘十一五’重点专科协作组肱骨干骨折诊疗方案”。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肱骨干骨折临床常见的证型：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参照“国家中医药管理局‘十一五’重点专科协作组肱骨干骨折诊疗方案”。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诊断明确，第一诊断为肱骨干骨折。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（四）标准住院日为≥10天。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第一诊断必须符合肱骨干骨折（TCD编码：BGG000，ICD-10编码：S42.300）的患者。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外伤引起的单纯性、新鲜闭合肱骨干骨折，有闭合复位外固定适应证。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（9）肱骨正位X线片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可选择的检查项目：根据病情需要而定，如CT、MRI、心脏彩超、动态心电图、肺功能等。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手法复位治疗：适用于有移位的肱骨干骨折。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外固定治疗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（1）夹板固定：其长度视骨折部位而定。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（2）前臂吊带固定：前臂置于中立位，患肢悬吊于胸前。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护理：辨证施护</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3.肘腕关节活动良好；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4.没有需要住院治疗的并发症。</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因患者及其家属意愿而影响本路径执行时，退出本路径。</w:t>
      </w:r>
    </w:p>
    <w:p>
      <w:pPr>
        <w:keepNext w:val="0"/>
        <w:keepLines w:val="0"/>
        <w:pageBreakBefore w:val="0"/>
        <w:widowControl w:val="0"/>
        <w:kinsoku/>
        <w:wordWrap/>
        <w:overflowPunct w:val="0"/>
        <w:topLinePunct w:val="0"/>
        <w:autoSpaceDE/>
        <w:autoSpaceDN/>
        <w:bidi w:val="0"/>
        <w:adjustRightInd/>
        <w:snapToGrid/>
        <w:spacing w:line="592" w:lineRule="exact"/>
        <w:ind w:firstLine="640" w:firstLineChars="200"/>
        <w:jc w:val="both"/>
        <w:textAlignment w:val="auto"/>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二、肱骨干骨折中医临床路径住院表单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适用对象：第一诊断为肱骨干骨折（TCD编码：BGG000，ICD-10编码：S42.300）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标准住院日≥10天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8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2880"/>
        <w:gridCol w:w="2719"/>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7"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622"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531"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528"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317" w:type="pct"/>
            <w:textDirection w:val="tbRlV"/>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62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w:t>
            </w:r>
            <w:r>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53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528"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9" w:hRule="atLeast"/>
          <w:jc w:val="center"/>
        </w:trPr>
        <w:tc>
          <w:tcPr>
            <w:tcW w:w="317" w:type="pct"/>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62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□开具中药处方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□中医特色治疗，如：隔物灸</w:t>
            </w:r>
          </w:p>
        </w:tc>
        <w:tc>
          <w:tcPr>
            <w:tcW w:w="1531"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528"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317"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622"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6"/>
                <w:sz w:val="18"/>
                <w:szCs w:val="18"/>
                <w14:textFill>
                  <w14:solidFill>
                    <w14:schemeClr w14:val="tx1"/>
                  </w14:solidFill>
                </w14:textFill>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531"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528"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7"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62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53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52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  □有，原因：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7"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2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3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2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7" w:type="pct"/>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2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3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2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9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416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6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342"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291"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65"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34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2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65"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34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2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6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34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291"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6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342"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291"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4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91"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65"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4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91"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桡骨下端骨折中医临床路径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一、桡骨下端骨折中医临床路径标准住院流程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第一诊断为桡骨远端骨折（TCD编码：BGG000、ICD-10编码：S</w:t>
      </w: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2.500）。</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（1）无移位型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（2）伸直型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（3）屈曲型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（4）半脱位型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参照《国家中医药管理局“十一五”重点专科桡骨下端骨折骨折诊疗方案》。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桡骨下端骨折临床常见的证型：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参照《国家中医药管理局“十一五”重点专科桡骨下端骨折诊疗方案》。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诊断明确，第一诊断为桡骨下端骨折。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（四）标准住院日为≥7天。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第一诊断必须符合桡骨下端骨折（TCD编码：BGG000，ICD-10编码：S42.500）的患者。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外伤引起的单纯性、新鲜闭合桡骨下端骨折，有闭合复位外固定适应证。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（9）腕关节正位X线片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可选择的检查项目：根据病情需要而定，如CT、MRI、心脏彩超、动态心电图、肺功能、骨密度测定等。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1．手法复位治疗：适用于有移位的桡骨下端骨折。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2．小夹板外固定。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5.并发症的防治。</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6.护理：辨证施护。</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1.病情稳定，局部肿胀好转，X线片复查达到功能复位标准，小夹板固定稳定。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2.没有需要住院治疗的并发症。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3.初步形成中医特色的个体化的康复方案。</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1．闭合复位后骨折对位对线差，或合并重大血管、神经损伤，骨缺损；闭合复位后不稳定或复位失败等无法通过手法闭合复位进行治疗者需行手术治疗时，退出本路径。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二、桡骨下端骨折中医临床路径住院表单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适用对象：第一诊断为桡骨下端骨折（TCD编码：BGG000，ICD-10编码：S42.500）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标准住院日≥7天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885"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2"/>
        <w:gridCol w:w="2882"/>
        <w:gridCol w:w="2719"/>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3"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627"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535"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473"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3" w:type="pct"/>
            <w:textDirection w:val="tbRlV"/>
            <w:vAlign w:val="center"/>
          </w:tcPr>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627"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w:t>
            </w:r>
            <w:r>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535"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473"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6"/>
                <w:sz w:val="18"/>
                <w:szCs w:val="18"/>
                <w14:textFill>
                  <w14:solidFill>
                    <w14:schemeClr w14:val="tx1"/>
                  </w14:solidFill>
                </w14:textFill>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3"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627"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□开具中药处方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□中医特色治疗，如：隔物灸</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473"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63"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627"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473"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627"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473"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27"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73"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63" w:type="pct"/>
            <w:vAlign w:val="center"/>
          </w:tcPr>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spacing w:line="240" w:lineRule="exact"/>
              <w:ind w:left="0" w:leftChars="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27"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73"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8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4078"/>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0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298"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298"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402"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402"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40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298"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0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298"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298"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0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29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9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402"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29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9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桡尺骨骨干骨折中医临床路径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一、桡尺骨骨干骨折中医临床路径标准住院流程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第一诊断为桡尺骨骨干骨折（TCD编码：BGG000、ICD-10编码：S52.400）。</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斜形骨折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横断骨折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粉碎型骨折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参照“国家中医药管理局‘十一五’重点专科协作组桡尺骨和桡骨骨干骨折诊疗方案”。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尺桡骨骨干骨折临床常见的证型：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参照“国家中医药管理局‘十一五’重点专科协作组尺骨和桡骨骨干骨折诊疗方案”。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诊断明确，第一诊断为桡尺骨骨干骨折。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（四）标准住院日为≥10天。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第一诊断必须符合桡尺骨骨干骨折（TCD编码：BGG000，ICD-10编码：S52.400）的患者。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外伤引起的单纯性、新鲜闭合性骨折，有闭合复位外固定适应证。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（2）患处严重皮肤疾病者。</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（3）合并其他无法耐受闭合复位外固定治疗的疾病（如严重心脑血管疾病、癫痫、帕金森病）等。</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（5）血糖</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（6）凝血功能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（7）心电图</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（8）胸部X线片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（9）前臂正侧位X线片</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可选择的检查项目：根据病情需要而定，如CT、MRI、心脏彩超、动态心电图、肺功能等。</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手法复位治疗：适用于有移位的尺桡骨骨干骨折。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外固定治疗</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（1）石膏固定：适用于无移位稳定骨折或不完全骨折。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（2）夹板固定：适用于复位后稳定的骨折。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3.闭合穿针内固定</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（1）弹性针固定：适用于小儿骨折。</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（2）髓内针固定：适用于成人横断或斜形骨折。</w:t>
      </w:r>
    </w:p>
    <w:p>
      <w:pPr>
        <w:keepNext w:val="0"/>
        <w:keepLines w:val="0"/>
        <w:pageBreakBefore w:val="0"/>
        <w:widowControl w:val="0"/>
        <w:kinsoku/>
        <w:wordWrap/>
        <w:overflowPunct w:val="0"/>
        <w:topLinePunct w:val="0"/>
        <w:autoSpaceDE/>
        <w:autoSpaceDN/>
        <w:bidi w:val="0"/>
        <w:adjustRightInd/>
        <w:snapToGrid/>
        <w:spacing w:line="570" w:lineRule="exact"/>
        <w:ind w:firstLine="596" w:firstLineChars="200"/>
        <w:jc w:val="distribute"/>
        <w:textAlignment w:val="auto"/>
        <w:rPr>
          <w:rFonts w:hint="default" w:ascii="Times New Roman" w:hAnsi="Times New Roman" w:eastAsia="仿宋_GB2312" w:cs="Times New Roman"/>
          <w:color w:val="000000" w:themeColor="text1"/>
          <w:spacing w:val="-11"/>
          <w:sz w:val="32"/>
          <w14:textFill>
            <w14:solidFill>
              <w14:schemeClr w14:val="tx1"/>
            </w14:solidFill>
          </w14:textFill>
        </w:rPr>
      </w:pPr>
      <w:r>
        <w:rPr>
          <w:rFonts w:hint="eastAsia" w:ascii="Times New Roman" w:hAnsi="Times New Roman" w:eastAsia="仿宋_GB2312" w:cs="Times New Roman"/>
          <w:color w:val="000000" w:themeColor="text1"/>
          <w:spacing w:val="-1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pacing w:val="-11"/>
          <w:sz w:val="32"/>
          <w14:textFill>
            <w14:solidFill>
              <w14:schemeClr w14:val="tx1"/>
            </w14:solidFill>
          </w14:textFill>
        </w:rPr>
        <w:t>辨证选择口服中药汤剂或中成药。配合外敷中药膏剂或洗剂。</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功能锻炼。</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14:textFill>
            <w14:solidFill>
              <w14:schemeClr w14:val="tx1"/>
            </w14:solidFill>
          </w14:textFill>
        </w:rPr>
        <w:t>护理：辨证施护</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1.骨折处肿痛明显缓解；</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2.X线片复查达到功能复位或解剖复位标准；</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3.肩、腕关节活动良好；</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4.没有需要住院治疗的并发症。</w:t>
      </w:r>
    </w:p>
    <w:p>
      <w:pPr>
        <w:pStyle w:val="28"/>
        <w:keepNext w:val="0"/>
        <w:keepLines w:val="0"/>
        <w:pageBreakBefore w:val="0"/>
        <w:widowControl w:val="0"/>
        <w:kinsoku/>
        <w:wordWrap/>
        <w:overflowPunct w:val="0"/>
        <w:topLinePunct w:val="0"/>
        <w:autoSpaceDE/>
        <w:autoSpaceDN/>
        <w:bidi w:val="0"/>
        <w:adjustRightInd/>
        <w:snapToGrid/>
        <w:spacing w:line="570" w:lineRule="exact"/>
        <w:textAlignment w:val="auto"/>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闭合复位后骨折对位对线差，或合并重大血管、神经损伤，骨缺损；闭合复位后不稳定或复位失败等无法通过手法闭合复位进行治疗者需行手术治疗时，退出本路径。</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合并心血管疾病、内分泌疾病等其他系统疾病者，住院期间病情加重，需要特殊处理，导致住院时间延长、费用增加。</w:t>
      </w:r>
    </w:p>
    <w:p>
      <w:pPr>
        <w:keepNext w:val="0"/>
        <w:keepLines w:val="0"/>
        <w:pageBreakBefore w:val="0"/>
        <w:widowControl w:val="0"/>
        <w:kinsoku/>
        <w:wordWrap/>
        <w:overflowPunct w:val="0"/>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二、桡尺骨骨干骨折中医临床路径住院表单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适用对象：第一诊断为桡尺骨骨干骨折（TCD编码：BGG000，ICD-10编码：S52.400）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标准住院日≥10天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9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5"/>
        <w:gridCol w:w="3029"/>
        <w:gridCol w:w="2581"/>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699" w:type="pct"/>
            <w:vAlign w:val="center"/>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448" w:type="pct"/>
            <w:vAlign w:val="center"/>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523" w:type="pct"/>
            <w:vAlign w:val="center"/>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699"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448"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523"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699"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□开具中药处方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□中医特色治疗，如：隔物灸</w:t>
            </w:r>
          </w:p>
        </w:tc>
        <w:tc>
          <w:tcPr>
            <w:tcW w:w="144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523"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699"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448"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523"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28"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699"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44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52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28"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99"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4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2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28"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99"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4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2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9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4162"/>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71"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338"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290"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71"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338"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290"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71"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338"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290"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71"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338"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290"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71"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338"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290"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71"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3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9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71"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38"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9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p>
    <w:p>
      <w:pPr>
        <w:keepNext w:val="0"/>
        <w:keepLines w:val="0"/>
        <w:pageBreakBefore w:val="0"/>
        <w:kinsoku/>
        <w:wordWrap/>
        <w:topLinePunct w:val="0"/>
        <w:autoSpaceDE/>
        <w:autoSpaceDN/>
        <w:bidi w:val="0"/>
        <w:spacing w:line="592" w:lineRule="exact"/>
        <w:ind w:left="0" w:leftChars="0" w:right="0" w:rightChars="0" w:firstLine="0" w:firstLineChars="0"/>
        <w:jc w:val="center"/>
        <w:outlineLvl w:val="0"/>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股骨干骨折中医临床路径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b/>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一、股骨干骨折中医临床路径标准住院流程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第一诊断为股骨干骨折（TCD编码为：BGG000；ICD-10编码为：S72.300）。</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参照中华人民共和国中医药行业标准《中医病证诊断疗效标准》（ZY/T001.9-94）及全国中医药行业高等教育“十四五”规划教材《中医正骨学》（冷向阳，马勇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（2）西医诊断：参照《实用骨科学》第四版（胥少汀主编，人民军医出版社，2012年）和《临床疾病诊断依据治愈好转标准》（孙传兴主编，人民军医出版社，1987年）。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（3）后期：伤后4周以上。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（1）股骨干骨折的分型一般可按骨折的部位分型，移位有一定规律：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股骨干上1/3骨折时，骨折近段因受髂腰肌、臀中、小肌及外旋肌的作用，而产生屈曲、外展及外旋移位；远骨折段则向后上、内移位。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股骨干中1/3骨折时，骨折端移位，无一定规律性，视暴力方向而异，若骨折端尚有接触而无重叠时．由于内收肌的作用，骨折向外成角。</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股骨干下1/3骨折时，由于膝后方关节囊及腓肠肌的牵拉，骨折远端多向后倾斜，有压迫或损伤动、静脉和胫、腓总神经的危险，而骨折近端内收向前移位。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参照“国家中医药管理局‘十一五’重点专科协作组股骨干骨折诊疗方案”。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股骨干骨折临床常见的证型：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骨折临床常见证候：</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（2）营血不调证；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（3）肝肾亏虚证；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（三）治疗方案的选择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参照“国家中医药管理局‘十一五’重点专科协作组股骨干骨折诊疗方案”。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1.诊断明确，第一诊断为股骨干骨折。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（四）标准住院日为≥10天。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w:t>
      </w:r>
      <w:bookmarkStart w:id="1" w:name="_Hlk133418533"/>
      <w:r>
        <w:rPr>
          <w:rFonts w:hint="default" w:ascii="Times New Roman" w:hAnsi="Times New Roman" w:eastAsia="仿宋_GB2312" w:cs="Times New Roman"/>
          <w:color w:val="000000" w:themeColor="text1"/>
          <w:sz w:val="32"/>
          <w14:textFill>
            <w14:solidFill>
              <w14:schemeClr w14:val="tx1"/>
            </w14:solidFill>
          </w14:textFill>
        </w:rPr>
        <w:t>第一诊断必须符合股骨干骨折（TCD编码：BGG000）和股骨干骨折（ICD-10编码：S72.301）的患者</w:t>
      </w:r>
      <w:bookmarkEnd w:id="1"/>
      <w:r>
        <w:rPr>
          <w:rFonts w:hint="default" w:ascii="Times New Roman" w:hAnsi="Times New Roman" w:eastAsia="仿宋_GB2312" w:cs="Times New Roman"/>
          <w:color w:val="000000" w:themeColor="text1"/>
          <w:sz w:val="32"/>
          <w14:textFill>
            <w14:solidFill>
              <w14:schemeClr w14:val="tx1"/>
            </w14:solidFill>
          </w14:textFill>
        </w:rPr>
        <w:t>。</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2.外伤引起的单纯性、新鲜闭合股骨干骨折，有闭合复位外固定适应证。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（1）局部肿胀严重者；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（3）合并其他无法耐受闭合复位外固定治疗的疾病（如严重心脑血管疾病、癫痫）等。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（1）血常规+血型+Rh、尿常规、便常规；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（2）肝功能、肾功能、电解质、血糖、心肌酶；</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（3）凝血功能，D-二聚体；</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（4）心电图，心脏彩超；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（6）股骨X线片；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（7）床旁心脏彩超；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（8）下肢血管彩超。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2.可选择的检查项目：根据病情需要而定，如股骨CT或MRI、ESR等。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1.整复和固定。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无移位或有移位的骨折经牵引和手法复位后可行夹板或其他外固定。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2.根据骨折三期辨证用药辨证选择口服中药汤剂、中成药。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（1）血瘀气滞证：行气活血、消肿止痛。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（2）营血不调证：和营止痛。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（3）肝肾亏虚证：补益气血。</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4.物理疗法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A.微波治疗仪：每日1-2次。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B.场效应治疗仪：每日1-2次。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C.频谱治疗仪：每日一2次。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D.脉冲电磁夹板：每日1-2次。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E.软组织伤痛治疗仪：每日1-2次。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F.低温冲击镇痛仪：每日1-2次。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5.对症处理：根据病情需要选择。</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6.内科疾病及原发疾病治疗。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8.护理调摄：辨证施护。</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2.支架针口干洁无渗液；</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4.初步形成具有中医特色的个体化的康复方案；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5.没有需要住院治疗的并发症。</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1.因并发其他部位损伤致使治疗时间或卧床时间延长，增加住院费用。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2.合并心血管、呼吸系统、内分泌等其他内科疾病导致治疗时间延长，增加住院费用。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3.治疗过程中发生了病情变化，出现中风、DVT等严重并发症，退出本路径。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bCs/>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二、股骨干骨折临床路径住院表单</w:t>
      </w:r>
    </w:p>
    <w:p>
      <w:pPr>
        <w:keepNext w:val="0"/>
        <w:keepLines w:val="0"/>
        <w:pageBreakBefore w:val="0"/>
        <w:widowControl w:val="0"/>
        <w:kinsoku/>
        <w:wordWrap/>
        <w:overflowPunct w:val="0"/>
        <w:topLinePunct w:val="0"/>
        <w:autoSpaceDE/>
        <w:autoSpaceDN/>
        <w:bidi w:val="0"/>
        <w:adjustRightInd/>
        <w:snapToGrid/>
        <w:spacing w:line="300" w:lineRule="exact"/>
        <w:ind w:left="1000" w:right="0" w:rightChars="0" w:hanging="1000" w:hangingChars="500"/>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适用对象：第一诊断必须符合中医诊断为股骨干骨折（TCD编码：BGG000）和股骨干骨折（ICD-10编码：S72.301）的患者</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both"/>
        <w:textAlignment w:val="auto"/>
        <w:rPr>
          <w:rFonts w:hint="eastAsia" w:ascii="方正书宋简体" w:hAnsi="方正书宋简体" w:eastAsia="方正书宋简体" w:cs="方正书宋简体"/>
          <w:bCs/>
          <w:color w:val="000000" w:themeColor="text1"/>
          <w:sz w:val="20"/>
          <w:szCs w:val="20"/>
          <w14:textFill>
            <w14:solidFill>
              <w14:schemeClr w14:val="tx1"/>
            </w14:solidFill>
          </w14:textFill>
        </w:rPr>
      </w:pPr>
      <w:r>
        <w:rPr>
          <w:rFonts w:hint="eastAsia" w:ascii="方正书宋简体" w:hAnsi="方正书宋简体" w:eastAsia="方正书宋简体" w:cs="方正书宋简体"/>
          <w:bCs/>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 xml:space="preserve"> 性别：</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 xml:space="preserve"> 年龄：</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岁  门诊号：</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 xml:space="preserve"> 住院号：</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both"/>
        <w:textAlignment w:val="auto"/>
        <w:rPr>
          <w:rFonts w:hint="eastAsia" w:ascii="方正书宋简体" w:hAnsi="方正书宋简体" w:eastAsia="方正书宋简体" w:cs="方正书宋简体"/>
          <w:bCs/>
          <w:color w:val="000000" w:themeColor="text1"/>
          <w:sz w:val="20"/>
          <w:szCs w:val="20"/>
          <w14:textFill>
            <w14:solidFill>
              <w14:schemeClr w14:val="tx1"/>
            </w14:solidFill>
          </w14:textFill>
        </w:rPr>
      </w:pPr>
      <w:r>
        <w:rPr>
          <w:rFonts w:hint="eastAsia" w:ascii="方正书宋简体" w:hAnsi="方正书宋简体" w:eastAsia="方正书宋简体" w:cs="方正书宋简体"/>
          <w:bCs/>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日 住院日期：</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bCs/>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bCs/>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ind w:right="0" w:rightChars="0"/>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标准住院日≥10天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天</w:t>
      </w:r>
    </w:p>
    <w:tbl>
      <w:tblPr>
        <w:tblStyle w:val="9"/>
        <w:tblW w:w="48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57"/>
        <w:gridCol w:w="2656"/>
        <w:gridCol w:w="1025"/>
        <w:gridCol w:w="2091"/>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503" w:type="pct"/>
            <w:vAlign w:val="center"/>
          </w:tcPr>
          <w:p>
            <w:pPr>
              <w:keepNext w:val="0"/>
              <w:keepLines w:val="0"/>
              <w:pageBreakBefore w:val="0"/>
              <w:widowControl/>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763" w:type="pct"/>
            <w:gridSpan w:val="2"/>
            <w:vAlign w:val="center"/>
          </w:tcPr>
          <w:p>
            <w:pPr>
              <w:keepNext w:val="0"/>
              <w:keepLines w:val="0"/>
              <w:pageBreakBefore w:val="0"/>
              <w:widowControl/>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第2—5天）</w:t>
            </w:r>
          </w:p>
        </w:tc>
        <w:tc>
          <w:tcPr>
            <w:tcW w:w="1347" w:type="pct"/>
            <w:vAlign w:val="center"/>
          </w:tcPr>
          <w:p>
            <w:pPr>
              <w:keepNext w:val="0"/>
              <w:keepLines w:val="0"/>
              <w:pageBreakBefore w:val="0"/>
              <w:widowControl/>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（第6—14天）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要</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诊</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疗</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作</w:t>
            </w:r>
          </w:p>
        </w:tc>
        <w:tc>
          <w:tcPr>
            <w:tcW w:w="1503" w:type="pct"/>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kinsoku/>
              <w:wordWrap/>
              <w:topLinePunct w:val="0"/>
              <w:autoSpaceDE/>
              <w:autoSpaceDN/>
              <w:bidi w:val="0"/>
              <w:adjustRightInd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spacing w:line="240" w:lineRule="exact"/>
              <w:ind w:left="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□与家属沟通，交代病情及注意事项</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763" w:type="pct"/>
            <w:gridSpan w:val="2"/>
          </w:tcPr>
          <w:p>
            <w:pPr>
              <w:keepNext w:val="0"/>
              <w:keepLines w:val="0"/>
              <w:pageBreakBefore w:val="0"/>
              <w:widowControl w:val="0"/>
              <w:kinsoku/>
              <w:wordWrap/>
              <w:overflowPunct/>
              <w:topLinePunct w:val="0"/>
              <w:autoSpaceDE/>
              <w:autoSpaceDN/>
              <w:bidi w:val="0"/>
              <w:adjustRightInd w:val="0"/>
              <w:snapToGrid/>
              <w:spacing w:line="22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□完成上级医师查房及记录</w:t>
            </w:r>
          </w:p>
          <w:p>
            <w:pPr>
              <w:keepNext w:val="0"/>
              <w:keepLines w:val="0"/>
              <w:pageBreakBefore w:val="0"/>
              <w:widowControl w:val="0"/>
              <w:kinsoku/>
              <w:wordWrap/>
              <w:overflowPunct/>
              <w:topLinePunct w:val="0"/>
              <w:autoSpaceDE/>
              <w:autoSpaceDN/>
              <w:bidi w:val="0"/>
              <w:adjustRightInd w:val="0"/>
              <w:snapToGrid/>
              <w:spacing w:line="220" w:lineRule="exact"/>
              <w:ind w:left="31680" w:right="-63" w:rightChars="-30" w:hanging="90" w:hangingChars="5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spacing w:line="22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widowControl w:val="0"/>
              <w:kinsoku/>
              <w:wordWrap/>
              <w:overflowPunct/>
              <w:topLinePunct w:val="0"/>
              <w:autoSpaceDE/>
              <w:autoSpaceDN/>
              <w:bidi w:val="0"/>
              <w:adjustRightInd w:val="0"/>
              <w:snapToGrid/>
              <w:spacing w:line="22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6"/>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adjustRightInd w:val="0"/>
              <w:snapToGrid/>
              <w:spacing w:line="22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p>
            <w:pPr>
              <w:keepNext w:val="0"/>
              <w:keepLines w:val="0"/>
              <w:pageBreakBefore w:val="0"/>
              <w:widowControl w:val="0"/>
              <w:kinsoku/>
              <w:wordWrap/>
              <w:overflowPunct/>
              <w:topLinePunct w:val="0"/>
              <w:autoSpaceDE/>
              <w:autoSpaceDN/>
              <w:bidi w:val="0"/>
              <w:adjustRightInd w:val="0"/>
              <w:snapToGrid/>
              <w:spacing w:line="22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widowControl w:val="0"/>
              <w:kinsoku/>
              <w:wordWrap/>
              <w:overflowPunct/>
              <w:topLinePunct w:val="0"/>
              <w:autoSpaceDE/>
              <w:autoSpaceDN/>
              <w:bidi w:val="0"/>
              <w:adjustRightInd w:val="0"/>
              <w:snapToGrid/>
              <w:spacing w:line="22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spacing w:line="22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snapToGrid/>
              <w:spacing w:line="22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□观察血运、感觉、功能活动、外固定松紧度等情况</w:t>
            </w:r>
          </w:p>
          <w:p>
            <w:pPr>
              <w:keepNext w:val="0"/>
              <w:keepLines w:val="0"/>
              <w:pageBreakBefore w:val="0"/>
              <w:widowControl w:val="0"/>
              <w:kinsoku/>
              <w:wordWrap/>
              <w:overflowPunct/>
              <w:topLinePunct w:val="0"/>
              <w:autoSpaceDE/>
              <w:autoSpaceDN/>
              <w:bidi w:val="0"/>
              <w:snapToGrid/>
              <w:spacing w:line="22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□必要时行骨牵引</w:t>
            </w:r>
          </w:p>
        </w:tc>
        <w:tc>
          <w:tcPr>
            <w:tcW w:w="1347" w:type="pct"/>
          </w:tcPr>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点</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嘱</w:t>
            </w:r>
          </w:p>
        </w:tc>
        <w:tc>
          <w:tcPr>
            <w:tcW w:w="1503" w:type="pct"/>
          </w:tcPr>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□尿常规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□大便常规</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□肾功能</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□电解质</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□血糖</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□胸部X线片</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□心电图  </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□股骨X线片</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□下肢血管彩超</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□床旁心脏彩超（必要时）</w:t>
            </w:r>
          </w:p>
          <w:p>
            <w:pPr>
              <w:keepNext w:val="0"/>
              <w:keepLines w:val="0"/>
              <w:pageBreakBefore w:val="0"/>
              <w:widowControl w:val="0"/>
              <w:kinsoku/>
              <w:wordWrap/>
              <w:overflowPunct/>
              <w:topLinePunct w:val="0"/>
              <w:autoSpaceDE/>
              <w:autoSpaceDN/>
              <w:bidi w:val="0"/>
              <w:adjustRightInd/>
              <w:snapToGrid/>
              <w:spacing w:line="20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□骨密度检查（必要时）</w:t>
            </w:r>
          </w:p>
        </w:tc>
        <w:tc>
          <w:tcPr>
            <w:tcW w:w="1763"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□支架针口换药</w:t>
            </w:r>
          </w:p>
        </w:tc>
        <w:tc>
          <w:tcPr>
            <w:tcW w:w="1347" w:type="pct"/>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503" w:type="pct"/>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763"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6"/>
                <w:sz w:val="18"/>
                <w:szCs w:val="18"/>
                <w14:textFill>
                  <w14:solidFill>
                    <w14:schemeClr w14:val="tx1"/>
                  </w14:solidFill>
                </w14:textFill>
              </w:rPr>
              <w:t>中医情志疏导、健康教育与生活护理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347" w:type="pct"/>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6"/>
                <w:sz w:val="18"/>
                <w:szCs w:val="18"/>
                <w14:textFill>
                  <w14:solidFill>
                    <w14:schemeClr w14:val="tx1"/>
                  </w14:solidFill>
                </w14:textFill>
              </w:rPr>
              <w:t>观察肿胀、疼痛、末梢血循、外固定松紧度等情况及护理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84" w:type="pct"/>
            <w:gridSpan w:val="2"/>
            <w:vAlign w:val="center"/>
          </w:tcPr>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503" w:type="pct"/>
          </w:tcPr>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763" w:type="pct"/>
            <w:gridSpan w:val="2"/>
          </w:tcPr>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347" w:type="pct"/>
          </w:tcPr>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adjustRightInd/>
              <w:snapToGrid/>
              <w:spacing w:line="22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4"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503"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763"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347"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4" w:type="pct"/>
            <w:gridSpan w:val="2"/>
            <w:vAlign w:val="center"/>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503"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763"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347" w:type="pct"/>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115" w:type="pct"/>
            <w:gridSpan w:val="3"/>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（第15—20天）</w:t>
            </w:r>
          </w:p>
        </w:tc>
        <w:tc>
          <w:tcPr>
            <w:tcW w:w="2532" w:type="pct"/>
            <w:gridSpan w:val="2"/>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（第21天）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54" w:hRule="atLeast"/>
          <w:jc w:val="center"/>
        </w:trPr>
        <w:tc>
          <w:tcPr>
            <w:tcW w:w="352"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要</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诊</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疗</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作</w:t>
            </w:r>
          </w:p>
        </w:tc>
        <w:tc>
          <w:tcPr>
            <w:tcW w:w="2115" w:type="pct"/>
            <w:gridSpan w:val="3"/>
          </w:tcPr>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532"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88"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点</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嘱</w:t>
            </w:r>
          </w:p>
        </w:tc>
        <w:tc>
          <w:tcPr>
            <w:tcW w:w="2115" w:type="pct"/>
            <w:gridSpan w:val="3"/>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532" w:type="pct"/>
            <w:gridSpan w:val="2"/>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08"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115" w:type="pct"/>
            <w:gridSpan w:val="3"/>
          </w:tcPr>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topLinePunct w:val="0"/>
              <w:autoSpaceDE/>
              <w:autoSpaceDN/>
              <w:bidi w:val="0"/>
              <w:spacing w:line="240" w:lineRule="exact"/>
              <w:ind w:left="316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□指导外固定器具自我护理</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532"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4"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115" w:type="pct"/>
            <w:gridSpan w:val="3"/>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532" w:type="pct"/>
            <w:gridSpan w:val="2"/>
            <w:vAlign w:val="center"/>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352"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115" w:type="pct"/>
            <w:gridSpan w:val="3"/>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532"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352"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115" w:type="pct"/>
            <w:gridSpan w:val="3"/>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532" w:type="pct"/>
            <w:gridSpan w:val="2"/>
          </w:tcPr>
          <w:p>
            <w:pPr>
              <w:keepNext w:val="0"/>
              <w:keepLines w:val="0"/>
              <w:pageBreakBefore w:val="0"/>
              <w:widowControl/>
              <w:kinsoku/>
              <w:wordWrap/>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widowControl/>
        <w:kinsoku/>
        <w:wordWrap/>
        <w:topLinePunct w:val="0"/>
        <w:autoSpaceDE/>
        <w:autoSpaceDN/>
        <w:bidi w:val="0"/>
        <w:spacing w:line="592" w:lineRule="exact"/>
        <w:jc w:val="both"/>
        <w:rPr>
          <w:rFonts w:hint="default" w:ascii="Times New Roman" w:hAnsi="Times New Roman" w:cs="Times New Roman"/>
          <w:color w:val="000000" w:themeColor="text1"/>
          <w:kern w:val="0"/>
          <w14:textFill>
            <w14:solidFill>
              <w14:schemeClr w14:val="tx1"/>
            </w14:solidFill>
          </w14:textFill>
        </w:rPr>
      </w:pPr>
    </w:p>
    <w:p>
      <w:pPr>
        <w:keepNext w:val="0"/>
        <w:keepLines w:val="0"/>
        <w:pageBreakBefore w:val="0"/>
        <w:kinsoku/>
        <w:wordWrap/>
        <w:topLinePunct w:val="0"/>
        <w:autoSpaceDE/>
        <w:autoSpaceDN/>
        <w:bidi w:val="0"/>
        <w:spacing w:line="592" w:lineRule="exact"/>
        <w:ind w:firstLine="810" w:firstLineChars="225"/>
        <w:jc w:val="center"/>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36"/>
          <w:szCs w:val="32"/>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胫腓骨干骨折中医临床路径</w:t>
      </w:r>
    </w:p>
    <w:p>
      <w:pPr>
        <w:keepNext w:val="0"/>
        <w:keepLines w:val="0"/>
        <w:pageBreakBefore w:val="0"/>
        <w:kinsoku/>
        <w:wordWrap/>
        <w:overflowPunct w:val="0"/>
        <w:topLinePunct w:val="0"/>
        <w:autoSpaceDE/>
        <w:autoSpaceDN/>
        <w:bidi w:val="0"/>
        <w:spacing w:line="592" w:lineRule="exact"/>
        <w:jc w:val="center"/>
        <w:rPr>
          <w:rFonts w:hint="default" w:ascii="Times New Roman" w:hAnsi="Times New Roman" w:eastAsia="方正小标宋简体" w:cs="Times New Roman"/>
          <w:color w:val="000000" w:themeColor="text1"/>
          <w:sz w:val="36"/>
          <w:szCs w:val="36"/>
          <w14:textFill>
            <w14:solidFill>
              <w14:schemeClr w14:val="tx1"/>
            </w14:solidFill>
          </w14:textFill>
        </w:rPr>
      </w:pPr>
      <w:bookmarkStart w:id="3" w:name="_GoBack"/>
      <w:bookmarkEnd w:id="3"/>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一、胫腓骨干骨折中医临床路径标准住院流程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第一诊断为胫腓骨干骨折（TCD编码：BGG000、ICD-10编码：S82.201）。</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（1）中医诊断标准：参照中华人民共和国行业标准《中医病证诊断疗效标准》（ZY/T001.9-94）及《中医骨伤科学》第十一版（黄桂成等主编，中国中医药出版社，2021年）。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（1）胫骨干上1/3骨折；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（2）胫骨干中1/3骨折；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（3）胫骨干下1/3骨折。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参照国家中医药管理局重点专科协作组制定的《胫腓骨骨折中医诊疗方案（试行）》。</w:t>
      </w:r>
      <w:r>
        <w:rPr>
          <w:rFonts w:hint="eastAsia" w:ascii="Times New Roman" w:hAnsi="Times New Roman" w:eastAsia="仿宋_GB2312" w:cs="Times New Roman"/>
          <w:color w:val="000000" w:themeColor="text1"/>
          <w:sz w:val="32"/>
          <w:lang w:eastAsia="zh-CN"/>
          <w14:textFill>
            <w14:solidFill>
              <w14:schemeClr w14:val="tx1"/>
            </w14:solidFill>
          </w14:textFill>
        </w:rPr>
        <w:t>胫腓骨干骨折</w:t>
      </w:r>
      <w:r>
        <w:rPr>
          <w:rFonts w:hint="default" w:ascii="Times New Roman" w:hAnsi="Times New Roman" w:eastAsia="仿宋_GB2312" w:cs="Times New Roman"/>
          <w:color w:val="000000" w:themeColor="text1"/>
          <w:sz w:val="32"/>
          <w14:textFill>
            <w14:solidFill>
              <w14:schemeClr w14:val="tx1"/>
            </w14:solidFill>
          </w14:textFill>
        </w:rPr>
        <w:t>临床常见证候：</w:t>
      </w:r>
    </w:p>
    <w:p>
      <w:pPr>
        <w:keepNext w:val="0"/>
        <w:keepLines w:val="0"/>
        <w:pageBreakBefore w:val="0"/>
        <w:numPr>
          <w:ilvl w:val="0"/>
          <w:numId w:val="1"/>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numPr>
          <w:ilvl w:val="0"/>
          <w:numId w:val="1"/>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numPr>
          <w:ilvl w:val="0"/>
          <w:numId w:val="1"/>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参照“国家中医药管理局”十四五”规划教材《中医正骨学》第十一版（冷向阳等主编，中国中医药出版社，2021年）及《中医骨伤科学》第十一版（黄桂成等主编，中国中医药出版社，2021年）。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诊断明确，第一诊断为</w:t>
      </w:r>
      <w:r>
        <w:rPr>
          <w:rFonts w:hint="eastAsia" w:ascii="Times New Roman" w:hAnsi="Times New Roman" w:eastAsia="仿宋_GB2312" w:cs="Times New Roman"/>
          <w:color w:val="000000" w:themeColor="text1"/>
          <w:sz w:val="32"/>
          <w:lang w:eastAsia="zh-CN"/>
          <w14:textFill>
            <w14:solidFill>
              <w14:schemeClr w14:val="tx1"/>
            </w14:solidFill>
          </w14:textFill>
        </w:rPr>
        <w:t>胫腓骨干骨折</w:t>
      </w:r>
      <w:r>
        <w:rPr>
          <w:rFonts w:hint="default" w:ascii="Times New Roman" w:hAnsi="Times New Roman" w:eastAsia="仿宋_GB2312" w:cs="Times New Roman"/>
          <w:color w:val="000000" w:themeColor="text1"/>
          <w:sz w:val="32"/>
          <w14:textFill>
            <w14:solidFill>
              <w14:schemeClr w14:val="tx1"/>
            </w14:solidFill>
          </w14:textFill>
        </w:rPr>
        <w:t>。</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（四）标准住院日为≥10天。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w:t>
      </w:r>
      <w:r>
        <w:rPr>
          <w:rFonts w:hint="eastAsia" w:ascii="Times New Roman" w:hAnsi="Times New Roman" w:eastAsia="仿宋_GB2312" w:cs="Times New Roman"/>
          <w:color w:val="000000" w:themeColor="text1"/>
          <w:sz w:val="32"/>
          <w:lang w:eastAsia="zh-CN"/>
          <w14:textFill>
            <w14:solidFill>
              <w14:schemeClr w14:val="tx1"/>
            </w14:solidFill>
          </w14:textFill>
        </w:rPr>
        <w:t>胫腓骨干骨折</w:t>
      </w:r>
      <w:r>
        <w:rPr>
          <w:rFonts w:hint="default" w:ascii="Times New Roman" w:hAnsi="Times New Roman" w:eastAsia="仿宋_GB2312" w:cs="Times New Roman"/>
          <w:color w:val="000000" w:themeColor="text1"/>
          <w:sz w:val="32"/>
          <w14:textFill>
            <w14:solidFill>
              <w14:schemeClr w14:val="tx1"/>
            </w14:solidFill>
          </w14:textFill>
        </w:rPr>
        <w:t>（TCD编码：BGG000，ICD-10编码：</w:t>
      </w:r>
      <w:r>
        <w:rPr>
          <w:rFonts w:hint="eastAsia" w:ascii="Times New Roman" w:hAnsi="Times New Roman" w:eastAsia="仿宋_GB2312" w:cs="Times New Roman"/>
          <w:color w:val="000000" w:themeColor="text1"/>
          <w:sz w:val="32"/>
          <w:lang w:eastAsia="zh-CN"/>
          <w14:textFill>
            <w14:solidFill>
              <w14:schemeClr w14:val="tx1"/>
            </w14:solidFill>
          </w14:textFill>
        </w:rPr>
        <w:t>S82.201</w:t>
      </w:r>
      <w:r>
        <w:rPr>
          <w:rFonts w:hint="default" w:ascii="Times New Roman" w:hAnsi="Times New Roman" w:eastAsia="仿宋_GB2312" w:cs="Times New Roman"/>
          <w:color w:val="000000" w:themeColor="text1"/>
          <w:sz w:val="32"/>
          <w14:textFill>
            <w14:solidFill>
              <w14:schemeClr w14:val="tx1"/>
            </w14:solidFill>
          </w14:textFill>
        </w:rPr>
        <w:t>）的患者。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w:t>
      </w:r>
      <w:r>
        <w:rPr>
          <w:rFonts w:hint="eastAsia" w:ascii="Times New Roman" w:hAnsi="Times New Roman" w:eastAsia="仿宋_GB2312" w:cs="Times New Roman"/>
          <w:color w:val="000000" w:themeColor="text1"/>
          <w:sz w:val="32"/>
          <w:lang w:eastAsia="zh-CN"/>
          <w14:textFill>
            <w14:solidFill>
              <w14:schemeClr w14:val="tx1"/>
            </w14:solidFill>
          </w14:textFill>
        </w:rPr>
        <w:t>胫腓骨干骨折</w:t>
      </w:r>
      <w:r>
        <w:rPr>
          <w:rFonts w:hint="default" w:ascii="Times New Roman" w:hAnsi="Times New Roman" w:eastAsia="仿宋_GB2312" w:cs="Times New Roman"/>
          <w:color w:val="000000" w:themeColor="text1"/>
          <w:sz w:val="32"/>
          <w14:textFill>
            <w14:solidFill>
              <w14:schemeClr w14:val="tx1"/>
            </w14:solidFill>
          </w14:textFill>
        </w:rPr>
        <w:t>，有闭合复位外固定适应证。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（1）合并筋膜间室综合征等。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（2）多发性骨折。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（5）电解质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（6）血糖、血脂</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（10）胫腓骨正侧位X线片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（11）双下肢深静脉彩超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可选择的检查项目：根据病情需要而定，如CT、MRI、心脏彩超、动态心电图、肺功能检查等。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手法复位治疗：适用于伤后2-3小时内肿胀未明显、有移位的</w:t>
      </w:r>
      <w:r>
        <w:rPr>
          <w:rFonts w:hint="eastAsia" w:ascii="Times New Roman" w:hAnsi="Times New Roman" w:eastAsia="仿宋_GB2312" w:cs="Times New Roman"/>
          <w:color w:val="000000" w:themeColor="text1"/>
          <w:sz w:val="32"/>
          <w:lang w:eastAsia="zh-CN"/>
          <w14:textFill>
            <w14:solidFill>
              <w14:schemeClr w14:val="tx1"/>
            </w14:solidFill>
          </w14:textFill>
        </w:rPr>
        <w:t>胫腓骨干骨折</w:t>
      </w:r>
      <w:r>
        <w:rPr>
          <w:rFonts w:hint="default" w:ascii="Times New Roman" w:hAnsi="Times New Roman" w:eastAsia="仿宋_GB2312" w:cs="Times New Roman"/>
          <w:color w:val="000000" w:themeColor="text1"/>
          <w:sz w:val="32"/>
          <w14:textFill>
            <w14:solidFill>
              <w14:schemeClr w14:val="tx1"/>
            </w14:solidFill>
          </w14:textFill>
        </w:rPr>
        <w:t>。</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外固定治疗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（1）夹板固定：适用于复位后稳定的骨折。夹板固定术时，注意保护腓骨小头，避免尺神经损伤。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（2）石膏固定：适用于无移位稳定骨折或不全骨折。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eastAsia" w:ascii="Times New Roman" w:hAnsi="Times New Roman" w:eastAsia="仿宋_GB2312" w:cs="Times New Roman"/>
          <w:color w:val="000000" w:themeColor="text1"/>
          <w:sz w:val="32"/>
          <w:lang w:eastAsia="zh-CN"/>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（3）持续牵引：适用于单纯夹板固定困难的不稳定性、患肢肿胀严重及皮肤挫伤的</w:t>
      </w:r>
      <w:r>
        <w:rPr>
          <w:rFonts w:hint="eastAsia" w:ascii="Times New Roman" w:hAnsi="Times New Roman" w:eastAsia="仿宋_GB2312" w:cs="Times New Roman"/>
          <w:color w:val="000000" w:themeColor="text1"/>
          <w:sz w:val="32"/>
          <w:lang w:eastAsia="zh-CN"/>
          <w14:textFill>
            <w14:solidFill>
              <w14:schemeClr w14:val="tx1"/>
            </w14:solidFill>
          </w14:textFill>
        </w:rPr>
        <w:t>胫腓骨干骨折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14:textFill>
            <w14:solidFill>
              <w14:schemeClr w14:val="tx1"/>
            </w14:solidFill>
          </w14:textFill>
        </w:rPr>
        <w:t>护理：辨证施护</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1.骨折局部肿胀减轻、疼痛缓解；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2.X线片复查达到功能复位或解剖复位标准；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3.膝踝关节活动良好；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4.没有需要住院治疗的并发症。</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1.手法复位后骨折对位对线未达到功能复位的要求或合并有重大血管、神经损伤等并发症，需要手术者退出本路径。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2.合并有心脑血管疾病等在住院期间病情加重，导致住院时间延长、费用增加者退出本路径。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3.发生药物反应等不良反应需特殊处理，导致住院时间延长、费用增加者退出本路径。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w:t>
      </w:r>
      <w:r>
        <w:rPr>
          <w:rFonts w:hint="eastAsia" w:ascii="Times New Roman" w:hAnsi="Times New Roman" w:eastAsia="黑体" w:cs="Times New Roman"/>
          <w:color w:val="000000" w:themeColor="text1"/>
          <w:sz w:val="32"/>
          <w:szCs w:val="32"/>
          <w:lang w:eastAsia="zh-CN"/>
          <w14:textFill>
            <w14:solidFill>
              <w14:schemeClr w14:val="tx1"/>
            </w14:solidFill>
          </w14:textFill>
        </w:rPr>
        <w:t>胫腓骨干骨折</w:t>
      </w:r>
      <w:r>
        <w:rPr>
          <w:rFonts w:hint="default" w:ascii="Times New Roman" w:hAnsi="Times New Roman" w:eastAsia="黑体" w:cs="Times New Roman"/>
          <w:color w:val="000000" w:themeColor="text1"/>
          <w:sz w:val="32"/>
          <w:szCs w:val="32"/>
          <w14:textFill>
            <w14:solidFill>
              <w14:schemeClr w14:val="tx1"/>
            </w14:solidFill>
          </w14:textFill>
        </w:rPr>
        <w:t>中医临床路径住院表单</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w:t>
      </w:r>
      <w:r>
        <w:rPr>
          <w:rFonts w:hint="eastAsia" w:ascii="方正书宋简体" w:hAnsi="方正书宋简体" w:eastAsia="方正书宋简体" w:cs="方正书宋简体"/>
          <w:color w:val="000000" w:themeColor="text1"/>
          <w:sz w:val="20"/>
          <w:szCs w:val="20"/>
          <w:lang w:eastAsia="zh-CN"/>
          <w14:textFill>
            <w14:solidFill>
              <w14:schemeClr w14:val="tx1"/>
            </w14:solidFill>
          </w14:textFill>
        </w:rPr>
        <w:t>胫腓骨干骨折</w:t>
      </w:r>
      <w:r>
        <w:rPr>
          <w:rFonts w:hint="eastAsia" w:ascii="方正书宋简体" w:hAnsi="方正书宋简体" w:eastAsia="方正书宋简体" w:cs="方正书宋简体"/>
          <w:color w:val="000000" w:themeColor="text1"/>
          <w:sz w:val="20"/>
          <w:szCs w:val="20"/>
          <w14:textFill>
            <w14:solidFill>
              <w14:schemeClr w14:val="tx1"/>
            </w14:solidFill>
          </w14:textFill>
        </w:rPr>
        <w:t>（TCD编码：BGG000，ICD-10编码：</w:t>
      </w:r>
      <w:r>
        <w:rPr>
          <w:rFonts w:hint="eastAsia" w:ascii="方正书宋简体" w:hAnsi="方正书宋简体" w:eastAsia="方正书宋简体" w:cs="方正书宋简体"/>
          <w:color w:val="000000" w:themeColor="text1"/>
          <w:sz w:val="20"/>
          <w:szCs w:val="20"/>
          <w:lang w:eastAsia="zh-CN"/>
          <w14:textFill>
            <w14:solidFill>
              <w14:schemeClr w14:val="tx1"/>
            </w14:solidFill>
          </w14:textFill>
        </w:rPr>
        <w:t>S82.201</w:t>
      </w:r>
      <w:r>
        <w:rPr>
          <w:rFonts w:hint="eastAsia" w:ascii="方正书宋简体" w:hAnsi="方正书宋简体" w:eastAsia="方正书宋简体" w:cs="方正书宋简体"/>
          <w:color w:val="000000" w:themeColor="text1"/>
          <w:sz w:val="20"/>
          <w:szCs w:val="20"/>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标准住院日≥10天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878" w:type="pct"/>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3154"/>
        <w:gridCol w:w="260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784"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474"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390"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78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474"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390"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78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tc>
        <w:tc>
          <w:tcPr>
            <w:tcW w:w="147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390"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78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474"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390" w:type="pct"/>
          </w:tcPr>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351"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78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47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390"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51"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78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7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390"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351" w:type="pct"/>
            <w:vAlign w:val="center"/>
          </w:tcPr>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78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74"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390"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8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407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9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303"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303" w:type="pct"/>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93"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93"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9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303"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9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30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30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393" w:type="pct"/>
            <w:vAlign w:val="center"/>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03"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303"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393" w:type="pct"/>
            <w:vAlign w:val="center"/>
          </w:tcPr>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03"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303" w:type="pct"/>
          </w:tcPr>
          <w:p>
            <w:pPr>
              <w:keepNext w:val="0"/>
              <w:keepLines w:val="0"/>
              <w:pageBreakBefore w:val="0"/>
              <w:widowControl/>
              <w:kinsoku/>
              <w:wordWrap/>
              <w:overflowPunct/>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腓骨骨折中医临床路径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一、腓骨骨折中医临床路径标准住院流程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第一诊断为腓骨骨折（TCD编码：BGG000、ICD-10编码：S82.400）。</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（1）中医诊断标准：参照中华人民共和国行业标准《中医病证诊断疗效标准》（ZY/T001.9-94）及《中医骨伤科学》第十一版（黄桂成等主编，中国中医药出版社，2021年）。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（1）横断形骨折；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（2）斜形骨折；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（3）粉碎性骨折。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参照国家中医药管理局重点专科协作组制定的《胫腓骨骨折中医诊疗方案（试行）》。腓骨骨折临床常见证候：</w:t>
      </w:r>
    </w:p>
    <w:p>
      <w:pPr>
        <w:keepNext w:val="0"/>
        <w:keepLines w:val="0"/>
        <w:pageBreakBefore w:val="0"/>
        <w:numPr>
          <w:ilvl w:val="0"/>
          <w:numId w:val="2"/>
        </w:numPr>
        <w:kinsoku/>
        <w:wordWrap/>
        <w:overflowPunct w:val="0"/>
        <w:topLinePunct w:val="0"/>
        <w:autoSpaceDE/>
        <w:autoSpaceDN/>
        <w:bidi w:val="0"/>
        <w:spacing w:line="592" w:lineRule="exact"/>
        <w:ind w:left="0"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numPr>
          <w:ilvl w:val="0"/>
          <w:numId w:val="2"/>
        </w:numPr>
        <w:kinsoku/>
        <w:wordWrap/>
        <w:overflowPunct w:val="0"/>
        <w:topLinePunct w:val="0"/>
        <w:autoSpaceDE/>
        <w:autoSpaceDN/>
        <w:bidi w:val="0"/>
        <w:spacing w:line="592" w:lineRule="exact"/>
        <w:ind w:left="0"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numPr>
          <w:ilvl w:val="0"/>
          <w:numId w:val="2"/>
        </w:numPr>
        <w:kinsoku/>
        <w:wordWrap/>
        <w:overflowPunct w:val="0"/>
        <w:topLinePunct w:val="0"/>
        <w:autoSpaceDE/>
        <w:autoSpaceDN/>
        <w:bidi w:val="0"/>
        <w:spacing w:line="592" w:lineRule="exact"/>
        <w:ind w:left="0"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w:t>
      </w:r>
      <w:bookmarkStart w:id="2" w:name="_Hlk136702307"/>
      <w:r>
        <w:rPr>
          <w:rFonts w:hint="default" w:ascii="Times New Roman" w:hAnsi="Times New Roman" w:eastAsia="仿宋_GB2312" w:cs="Times New Roman"/>
          <w:color w:val="000000" w:themeColor="text1"/>
          <w:sz w:val="32"/>
          <w14:textFill>
            <w14:solidFill>
              <w14:schemeClr w14:val="tx1"/>
            </w14:solidFill>
          </w14:textFill>
        </w:rPr>
        <w:t>“国家中医药管理局”十四五”规划教材《中医正骨学》第十一版（冷向阳等主编，中国中医药出版社，2021年</w:t>
      </w:r>
      <w:bookmarkEnd w:id="2"/>
      <w:r>
        <w:rPr>
          <w:rFonts w:hint="default" w:ascii="Times New Roman" w:hAnsi="Times New Roman" w:eastAsia="仿宋_GB2312" w:cs="Times New Roman"/>
          <w:color w:val="000000" w:themeColor="text1"/>
          <w:sz w:val="32"/>
          <w14:textFill>
            <w14:solidFill>
              <w14:schemeClr w14:val="tx1"/>
            </w14:solidFill>
          </w14:textFill>
        </w:rPr>
        <w:t>）及《中医骨伤科学》第十一版（黄桂成等主编，中国中医药出版社，2021年）。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1．诊断明确，第一诊断为腓骨骨折。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（四）标准住院日为≥10天。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第一诊断必须符合腓骨骨折（TCD编码：BGG000，ICD-10编码：S82.400）的患者。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外伤引起的单纯性、新鲜闭合腓骨骨折，有闭合复位外固定适应证。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（1）合并有筋膜间室综合征等。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（2）腓骨骨折合并Pilon骨折及多发性骨折。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（5）电解质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（10）胫腓骨正侧位X线片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（11）双下肢深静脉彩超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可选择的检查项目：根据病情需要而定，如CT、MRI、心脏彩超、动态心电图、肺功能检查等。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手法复位治疗：适用于伤后2-3小时内肿胀未明显、有移位的腓骨骨折。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外固定治疗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（1）夹板固定：适用于复位后稳定的骨折。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（2）石膏固定：适用于无移位稳定骨折或不全骨折。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numPr>
          <w:ilvl w:val="0"/>
          <w:numId w:val="3"/>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瘀血凝滞证：和营生新，接骨续筋。</w:t>
      </w:r>
    </w:p>
    <w:p>
      <w:pPr>
        <w:keepNext w:val="0"/>
        <w:keepLines w:val="0"/>
        <w:pageBreakBefore w:val="0"/>
        <w:numPr>
          <w:ilvl w:val="0"/>
          <w:numId w:val="3"/>
        </w:numPr>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外治法：外敷膏药，散剂，水剂等，也可采用熏、洗、灸等方法，早期可用活血化瘀，消肿止痛制剂，如跌打消炎散，如意金黄散等，中晚期宜用温经通络，化瘀止痛，续筋接骨之剂，如中药汤剂海桐皮汤熏洗局部以舒筋通络，有严重张力性水泡和使用伤膏后过敏者应避免使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14:textFill>
            <w14:solidFill>
              <w14:schemeClr w14:val="tx1"/>
            </w14:solidFill>
          </w14:textFill>
        </w:rPr>
        <w:t>护理：辨证施护</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1.骨折局部肿胀减轻、疼痛缓解；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2.X线片复查达到功能复位或解剖复位标准；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3.膝踝关节活动良好；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4.没有需要住院治疗的并发症。</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1.手法复位后骨折对位对线未达到功能复位的要求或合并有血管、神经损伤等并发症，需要手术者退出本路径。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2.合并有心脑血管疾病等在住院期间病情加重，导致住院时间延长、费用增加者退出本路径。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 xml:space="preserve">3.发生药物反应等不良反应需特殊处理，导致住院时间延长、费用增加者退出本路径。 </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4.因患者及其家属意愿而影响本路径的执行，退出本路径。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二、腓骨骨折中医临床路径住院表单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适用对象：第一诊断为腓骨骨折（TCD编码：BGG000，ICD-10编码：S82.400）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标准住院日≥10天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8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6"/>
        <w:gridCol w:w="3026"/>
        <w:gridCol w:w="2585"/>
        <w:gridCol w:w="2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710"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461"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535"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2" w:type="pct"/>
            <w:textDirection w:val="tbRlV"/>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710"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461"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2" w:type="pct"/>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710"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tc>
        <w:tc>
          <w:tcPr>
            <w:tcW w:w="1461"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710"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6"/>
                <w:sz w:val="18"/>
                <w:szCs w:val="18"/>
                <w14:textFill>
                  <w14:solidFill>
                    <w14:schemeClr w14:val="tx1"/>
                  </w14:solidFill>
                </w14:textFill>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461"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535" w:type="pct"/>
          </w:tcPr>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right="-42" w:rightChars="-2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710"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461"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710"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61"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292" w:type="pct"/>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710"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61"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35" w:type="pct"/>
          </w:tcPr>
          <w:p>
            <w:pPr>
              <w:keepNext w:val="0"/>
              <w:keepLines w:val="0"/>
              <w:pageBreakBefore w:val="0"/>
              <w:widowControl/>
              <w:kinsoku/>
              <w:wordWrap/>
              <w:overflowPunct/>
              <w:topLinePunct w:val="0"/>
              <w:autoSpaceDE/>
              <w:autoSpaceDN/>
              <w:bidi w:val="0"/>
              <w:spacing w:line="240" w:lineRule="exact"/>
              <w:ind w:right="-42" w:rightChars="-2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8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4162"/>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34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351"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303"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344"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351"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344"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351"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303"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34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351"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303"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34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351"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303"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4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51"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30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44"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51"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303"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overflowPunct w:val="0"/>
        <w:topLinePunct w:val="0"/>
        <w:autoSpaceDE/>
        <w:autoSpaceDN/>
        <w:bidi w:val="0"/>
        <w:spacing w:line="592" w:lineRule="exact"/>
        <w:ind w:left="0" w:leftChars="0" w:right="0" w:rightChars="0" w:firstLine="0" w:firstLineChars="0"/>
        <w:jc w:val="center"/>
        <w:outlineLvl w:val="0"/>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36"/>
          <w:szCs w:val="36"/>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趾骨骨折中医临床路径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eastAsia="方正小标宋简体" w:cs="Times New Roman"/>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000000" w:themeColor="text1"/>
          <w:sz w:val="32"/>
          <w:szCs w:val="32"/>
          <w14:textFill>
            <w14:solidFill>
              <w14:schemeClr w14:val="tx1"/>
            </w14:solidFill>
          </w14:textFill>
        </w:rPr>
      </w:pPr>
      <w:r>
        <w:rPr>
          <w:rFonts w:hint="default" w:ascii="Times New Roman" w:hAnsi="Times New Roman" w:eastAsia="黑体" w:cs="Times New Roman"/>
          <w:bCs/>
          <w:color w:val="000000" w:themeColor="text1"/>
          <w:sz w:val="32"/>
          <w:szCs w:val="32"/>
          <w14:textFill>
            <w14:solidFill>
              <w14:schemeClr w14:val="tx1"/>
            </w14:solidFill>
          </w14:textFill>
        </w:rPr>
        <w:t>一、趾骨骨折中医临床路径标准住院流程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第一诊断为趾骨骨折（TCD编码：BGG000、ICD-10编码：S92.301）。</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（2）中期：伤后3周～6周。瘀血凝滞证：和营生新，接骨续筋。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（3）晚期：伤后7周及以上。肝肾不足证：补益肝肾、强壮筋骨。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3.分型：根据解剖部位分为：趾骨颈骨折、趾骨干骨折、趾骨基地部骨折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参照“国家中医药管理局‘十一五’重点专科协作组趾骨骨折诊疗方案”。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趾骨骨折临床常见的证型：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参照“国家中医药管理局‘十一五’重点专科协作组跖骨骨折诊疗方案”。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诊断明确，第一诊断为趾骨骨折。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（四）标准住院日为≥10天。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第一诊断必须符合趾骨骨折（TCD编码：BGG000、ICD-10编码：S92.301）的患者。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外伤引起的单纯性、新鲜闭合趾骨骨折，有闭合复位外固定适应证。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（1）开放性骨折者。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（2）多发骨折，尤其同一肢体多发骨折者。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（9）足正斜位X线片、足部CT、足部MRI</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可选择的检查项目：根据病情需要而定，如血脂常规、电解质等。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手法复位治疗：对于有移位的趾骨骨折，应手法复位。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外固定治疗：手法复位后可采取竹片小夹板或邻趾固定，3～4周即可撤除固定。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配合中医特色治疗。</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6.护理：辨证施护</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1.骨折处肿痛明显缓解；</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2.X线片复查显示骨折对位、对线满意；</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3.踝关节及跖趾关节活动良好；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4.没有需要住院治疗的并发症。</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闭合复位后不稳定，或伴有趾骨脱位难以整复等无法通过手法闭合复位进行治疗，经评估后需行手术治疗时，退出本路径。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bCs/>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bCs/>
          <w:color w:val="000000" w:themeColor="text1"/>
          <w:sz w:val="32"/>
          <w:szCs w:val="32"/>
          <w14:textFill>
            <w14:solidFill>
              <w14:schemeClr w14:val="tx1"/>
            </w14:solidFill>
          </w14:textFill>
        </w:rPr>
        <w:t>二、趾骨骨折中医临床路径住院表单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适用对象：第一诊断为趾骨骨折（TCD编码：BGG000、ICD-10编码：S92.301）</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标准住院日≥10天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864"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3178"/>
        <w:gridCol w:w="2704"/>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802"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533"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317" w:type="pct"/>
            <w:vAlign w:val="center"/>
          </w:tcPr>
          <w:p>
            <w:pPr>
              <w:keepNext w:val="0"/>
              <w:keepLines w:val="0"/>
              <w:pageBreakBefore w:val="0"/>
              <w:widowControl/>
              <w:kinsoku/>
              <w:wordWrap/>
              <w:overflowPunct/>
              <w:topLinePunct w:val="0"/>
              <w:autoSpaceDE/>
              <w:autoSpaceDN/>
              <w:bidi w:val="0"/>
              <w:adjustRightInd w:val="0"/>
              <w:snapToGrid w:val="0"/>
              <w:spacing w:line="240" w:lineRule="exact"/>
              <w:ind w:right="-63" w:rightChars="-3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textDirection w:val="tbRlV"/>
            <w:vAlign w:val="center"/>
          </w:tcPr>
          <w:p>
            <w:pPr>
              <w:keepNext w:val="0"/>
              <w:keepLines w:val="0"/>
              <w:pageBreakBefore w:val="0"/>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802"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□与家属沟通，交代病情及注意事项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533" w:type="pct"/>
          </w:tcPr>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31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textDirection w:val="tbRlV"/>
            <w:vAlign w:val="center"/>
          </w:tcPr>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802"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tc>
        <w:tc>
          <w:tcPr>
            <w:tcW w:w="1533"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31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34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802"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533"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31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4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802"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533"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317" w:type="pct"/>
          </w:tcPr>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46" w:type="pct"/>
            <w:vAlign w:val="center"/>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80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33"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31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46" w:type="pct"/>
            <w:vAlign w:val="center"/>
          </w:tcPr>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802"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33"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31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899"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4178"/>
        <w:gridCol w:w="3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9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352" w:type="pct"/>
            <w:vAlign w:val="center"/>
          </w:tcPr>
          <w:p>
            <w:pPr>
              <w:keepNext w:val="0"/>
              <w:keepLines w:val="0"/>
              <w:pageBreakBefore w:val="0"/>
              <w:widowControl/>
              <w:kinsoku/>
              <w:wordWrap/>
              <w:topLinePunct w:val="0"/>
              <w:autoSpaceDE/>
              <w:autoSpaceDN/>
              <w:bidi w:val="0"/>
              <w:adjustRightInd w:val="0"/>
              <w:snapToGrid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250"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trPr>
        <w:tc>
          <w:tcPr>
            <w:tcW w:w="396"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35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25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396"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35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□再次复位（必要时）、调整外固定</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c>
          <w:tcPr>
            <w:tcW w:w="225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39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352"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250" w:type="pct"/>
          </w:tcPr>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widowControl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9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352"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250"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9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5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96" w:type="pct"/>
            <w:vAlign w:val="center"/>
          </w:tcPr>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50"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592" w:lineRule="exact"/>
        <w:jc w:val="both"/>
        <w:rPr>
          <w:rFonts w:hint="default" w:ascii="Calibri" w:hAnsi="Calibri" w:eastAsia="宋体" w:cs="Times New Roman"/>
          <w:color w:val="000000" w:themeColor="text1"/>
          <w:kern w:val="2"/>
          <w:sz w:val="21"/>
          <w:szCs w:val="22"/>
          <w:lang w:val="en-US" w:eastAsia="zh-CN" w:bidi="ar-SA"/>
          <w14:textFill>
            <w14:solidFill>
              <w14:schemeClr w14:val="tx1"/>
            </w14:solidFill>
          </w14:textFill>
        </w:rPr>
      </w:pPr>
    </w:p>
    <w:p>
      <w:pPr>
        <w:pStyle w:val="2"/>
        <w:rPr>
          <w:rFonts w:hint="default" w:ascii="Calibri" w:hAnsi="Calibri" w:eastAsia="宋体" w:cs="Times New Roman"/>
          <w:color w:val="000000" w:themeColor="text1"/>
          <w:kern w:val="2"/>
          <w:sz w:val="21"/>
          <w:szCs w:val="22"/>
          <w:lang w:val="en-US" w:eastAsia="zh-CN" w:bidi="ar-SA"/>
          <w14:textFill>
            <w14:solidFill>
              <w14:schemeClr w14:val="tx1"/>
            </w14:solidFill>
          </w14:textFill>
        </w:rPr>
      </w:pPr>
    </w:p>
    <w:p>
      <w:pPr>
        <w:pStyle w:val="2"/>
        <w:rPr>
          <w:rFonts w:hint="default" w:ascii="Calibri" w:hAnsi="Calibri" w:eastAsia="宋体" w:cs="Times New Roman"/>
          <w:color w:val="000000" w:themeColor="text1"/>
          <w:kern w:val="2"/>
          <w:sz w:val="21"/>
          <w:szCs w:val="22"/>
          <w:lang w:val="en-US" w:eastAsia="zh-CN" w:bidi="ar-SA"/>
          <w14:textFill>
            <w14:solidFill>
              <w14:schemeClr w14:val="tx1"/>
            </w14:solidFill>
          </w14:textFill>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掌骨骨折中医临床路径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一、掌骨骨折中医临床路径标准住院流程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第一诊断为掌骨骨折（TCD编码：BGG000、ICD-10编码：S62.301）。</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第1掌骨基底部骨折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第1掌骨基底部骨折脱位</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掌骨颈骨折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掌骨干骨折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参照“国家中医药管理局‘十一五’重点专科协作组掌骨骨折诊疗方案”。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掌骨骨折临床常见的证型：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参照“国家中医药管理局‘十一五’重点专科协作组掌骨骨折诊疗方案”。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诊断明确，第一诊断为掌骨骨折。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（四）标准住院日为≥7天。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第一诊断必须符合掌骨骨折（TCD编码：BGG000，ICD-10编码：S62.200）的患者。</w:t>
      </w: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外伤引起的单纯性、新鲜闭合掌骨骨折，有闭合复位穿针固定适应证。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（1）局部肿胀严重者。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（9）手正斜位X线片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可选择的检查项目：根据病情需要而定，如CT、MRI、心脏彩超、动态心电图、肺功能等。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手法整复、穿针固定。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4.护理：辨证施护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5.并发症的防治</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1.病情稳定，局部肿胀好转，X线片复查达到功能复位标准，内（外）固定牢靠。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2.没有需要住院治疗的并发症。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3.初步形成中医特色的个体化的康复方案。</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1.病情加重，需要延长住院时间，增加住院费用。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2.复位后骨折端成角及错位，需行切开复位手术治疗，退出本路径。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二、掌骨骨折中医临床路径住院表单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适用对象：第一诊断为掌骨骨折（TCD编码：BGG000，ICD-10编码：S62.200）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标准住院日≥7天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9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6"/>
        <w:gridCol w:w="2937"/>
        <w:gridCol w:w="2660"/>
        <w:gridCol w:w="2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652"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496"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526"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652"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w:t>
            </w:r>
            <w:r>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t>与家属沟通，交代病情及注意事项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496" w:type="pct"/>
          </w:tcPr>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widowControl w:val="0"/>
              <w:kinsoku/>
              <w:wordWrap/>
              <w:overflowPunct/>
              <w:topLinePunct w:val="0"/>
              <w:autoSpaceDE/>
              <w:autoSpaceDN/>
              <w:bidi w:val="0"/>
              <w:adjustRightInd w:val="0"/>
              <w:snapToGrid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52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□完成上级医师查房及病程记录</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652"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□开具中药处方</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□中医特色治疗，如：隔物灸</w:t>
            </w:r>
          </w:p>
        </w:tc>
        <w:tc>
          <w:tcPr>
            <w:tcW w:w="149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52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652"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49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526" w:type="pct"/>
          </w:tcPr>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widowControl w:val="0"/>
              <w:kinsoku/>
              <w:wordWrap/>
              <w:overflowPunct/>
              <w:topLinePunct w:val="0"/>
              <w:autoSpaceDE/>
              <w:autoSpaceDN/>
              <w:bidi w:val="0"/>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2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6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49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52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4"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9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2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4"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52"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9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2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bl>
      <w:tblPr>
        <w:tblStyle w:val="9"/>
        <w:tblW w:w="4871"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4161"/>
        <w:gridCol w:w="3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387"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356"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255"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trPr>
        <w:tc>
          <w:tcPr>
            <w:tcW w:w="387"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356"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255"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trPr>
        <w:tc>
          <w:tcPr>
            <w:tcW w:w="387"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356"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255"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387"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2356"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255"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87"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356"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255"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87"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5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5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87"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356"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55"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592" w:lineRule="exact"/>
        <w:jc w:val="both"/>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kinsoku/>
        <w:wordWrap/>
        <w:topLinePunct w:val="0"/>
        <w:autoSpaceDE/>
        <w:autoSpaceDN/>
        <w:bidi w:val="0"/>
        <w:spacing w:line="592" w:lineRule="exact"/>
        <w:ind w:left="0" w:leftChars="0" w:right="0" w:rightChars="0" w:firstLine="0" w:firstLineChars="0"/>
        <w:jc w:val="center"/>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r>
        <w:rPr>
          <w:rFonts w:hint="default" w:ascii="Times New Roman" w:hAnsi="Times New Roman" w:eastAsia="方正小标宋简体" w:cs="Times New Roman"/>
          <w:color w:val="000000" w:themeColor="text1"/>
          <w:sz w:val="44"/>
          <w:szCs w:val="44"/>
          <w14:textFill>
            <w14:solidFill>
              <w14:schemeClr w14:val="tx1"/>
            </w14:solidFill>
          </w14:textFill>
        </w:rPr>
        <w:t>指骨骨折中医临床路径</w:t>
      </w:r>
    </w:p>
    <w:p>
      <w:pPr>
        <w:keepNext w:val="0"/>
        <w:keepLines w:val="0"/>
        <w:pageBreakBefore w:val="0"/>
        <w:kinsoku/>
        <w:wordWrap/>
        <w:overflowPunct w:val="0"/>
        <w:topLinePunct w:val="0"/>
        <w:autoSpaceDE/>
        <w:autoSpaceDN/>
        <w:bidi w:val="0"/>
        <w:spacing w:line="592" w:lineRule="exact"/>
        <w:jc w:val="both"/>
        <w:rPr>
          <w:rFonts w:hint="default" w:ascii="Times New Roman" w:hAnsi="Times New Roman" w:cs="Times New Roman"/>
          <w:color w:val="000000" w:themeColor="text1"/>
          <w:sz w:val="36"/>
          <w:szCs w:val="36"/>
          <w14:textFill>
            <w14:solidFill>
              <w14:schemeClr w14:val="tx1"/>
            </w14:solidFill>
          </w14:textFill>
        </w:rPr>
      </w:pP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一、指骨骨折中医临床路径标准住院流程</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（一）适用对象</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第一诊断为指骨骨折（TCD编码：BGG000、ICD-10编码：S62.802）。</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（二）诊断依据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1.疾病诊断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中医诊断标准：参照中华人民共和国中医药行业标准《中医病证诊断疗效标准》（ZY/T001.9-94）及“国家中医药管理局”十四五”规划教材《中医正骨学》第十一版（冷向阳等主编，中国中医药出版社，2021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（2）西医诊断标准：参照《临床诊疗指南——骨科学分册》（中华医学会编著，人民卫生出版社，2009年）。</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疾病分期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（1）早期：伤后2周以内。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（2）中期：伤后2周～4周。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（3）晚期：伤后4周以上。</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3.分型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近节指骨骨折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指骨颈骨折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末节指骨基底背侧撕脱骨折</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证候诊断</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参照“国家中医药管理局‘十一五’重点专科协作组指骨骨折诊疗方案”。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指骨骨折临床常见的证型：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血瘀气滞证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瘀血凝滞证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肝肾不足证</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（三）治疗方案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参照“国家中医药管理局‘十一五’重点专科协作组指骨骨折诊疗方案”。</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诊断明确，第一诊断为指骨骨折。</w:t>
      </w:r>
    </w:p>
    <w:p>
      <w:pPr>
        <w:keepNext w:val="0"/>
        <w:keepLines w:val="0"/>
        <w:pageBreakBefore w:val="0"/>
        <w:kinsoku/>
        <w:wordWrap/>
        <w:overflowPunct w:val="0"/>
        <w:topLinePunct w:val="0"/>
        <w:autoSpaceDE/>
        <w:autoSpaceDN/>
        <w:bidi w:val="0"/>
        <w:spacing w:line="592" w:lineRule="exact"/>
        <w:ind w:firstLine="640" w:firstLineChars="200"/>
        <w:jc w:val="center"/>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患者适合并接受中医治疗。</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（四）标准住院日为≥7天。</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（五）进入路径标准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第一诊断必须符合指骨骨折（TCD编码：BGG000，ICD-10编码：S62.500）的患者。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外伤引起的单纯性、新鲜闭合指骨骨折，有闭合复位穿针固定适应证。</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患者接受闭合复位外固定治疗并同意住院。</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除外以下情况</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（1）合并有指骨骨折无移位者。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（2）并发血管神经肌腱损伤者。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（3）局部肿胀严重者。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（4）患处严重皮肤疾病者。</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（5）合并其他无法耐受闭合复位外固定治疗的疾病（如严重心脑血管疾病、癫痫、帕金森病）等。</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14:textFill>
            <w14:solidFill>
              <w14:schemeClr w14:val="tx1"/>
            </w14:solidFill>
          </w14:textFill>
        </w:rPr>
        <w:t>患者同时具有其他疾病，但在住院期间不需特殊处理，也不影响第一诊断的临床路径流程实施时，可以进入本路径。</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（六）中医证候学观察</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四诊合参，收集该病种不同证候的主症、次症、舌、脉特点。注意证候的动态变化。</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（七）入院检查项目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必需的检查项目</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（3）便常规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（4）肝功能、肾功能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（5）血糖</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（6）凝血功能</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（7）心电图</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（8）胸部X线片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（9）手部正斜位X线片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可选择的检查项目：根据病情需要而定，如CT、MRI、心脏彩超、动态心电图、肺功能等。</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（八）治疗方法</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14:textFill>
            <w14:solidFill>
              <w14:schemeClr w14:val="tx1"/>
            </w14:solidFill>
          </w14:textFill>
        </w:rPr>
        <w:t>手法整复、穿针固定。</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14:textFill>
            <w14:solidFill>
              <w14:schemeClr w14:val="tx1"/>
            </w14:solidFill>
          </w14:textFill>
        </w:rPr>
        <w:t>辨证选择口服中药汤剂或中成药</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（1）血瘀气滞证：活血祛瘀，消肿止痛。</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（2）瘀血凝滞证：和营生新，接骨续筋。</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（3）肝肾不足证：补益肝肾、强壮筋骨。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3.功能锻炼。</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4.护理：辨证施护</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5.并发症的防治</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（九）出院标准</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1.病情稳定，局部肿胀好转，X线片复查达到功能复位标准，内固定牢靠。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2.没有需要住院治疗的并发症。</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3.初步形成中医特色的个体化的康复方案。</w:t>
      </w:r>
    </w:p>
    <w:p>
      <w:pPr>
        <w:pStyle w:val="28"/>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（十）有无变异及原因分析</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1.病情加重，需要延长住院时间，增加住院费用。</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t>2.复位后骨折端成角及错位，需行切开复位手术治疗，退出本路径。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14:textFill>
            <w14:solidFill>
              <w14:schemeClr w14:val="tx1"/>
            </w14:solidFill>
          </w14:textFill>
        </w:rPr>
        <w:t>合并心血管疾病、内分泌疾病等其他系统疾病者，住院期间病情加重，需要特殊处理，导致住院时间延长、费用增加。</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仿宋_GB2312" w:cs="Times New Roman"/>
          <w:color w:val="000000" w:themeColor="text1"/>
          <w:sz w:val="32"/>
          <w14:textFill>
            <w14:solidFill>
              <w14:schemeClr w14:val="tx1"/>
            </w14:solidFill>
          </w14:textFill>
        </w:rPr>
      </w:pPr>
      <w:r>
        <w:rPr>
          <w:rFonts w:hint="eastAsia" w:ascii="Times New Roman" w:hAnsi="Times New Roman" w:eastAsia="仿宋_GB2312" w:cs="Times New Roman"/>
          <w:color w:val="000000" w:themeColor="text1"/>
          <w:sz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14:textFill>
            <w14:solidFill>
              <w14:schemeClr w14:val="tx1"/>
            </w14:solidFill>
          </w14:textFill>
        </w:rPr>
        <w:t>因患者及其家属意愿而影响本路径执行时，退出本路径。</w:t>
      </w:r>
    </w:p>
    <w:p>
      <w:pPr>
        <w:keepNext w:val="0"/>
        <w:keepLines w:val="0"/>
        <w:pageBreakBefore w:val="0"/>
        <w:kinsoku/>
        <w:wordWrap/>
        <w:overflowPunct w:val="0"/>
        <w:topLinePunct w:val="0"/>
        <w:autoSpaceDE/>
        <w:autoSpaceDN/>
        <w:bidi w:val="0"/>
        <w:spacing w:line="592" w:lineRule="exact"/>
        <w:ind w:firstLine="640" w:firstLineChars="200"/>
        <w:jc w:val="both"/>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32"/>
          <w14:textFill>
            <w14:solidFill>
              <w14:schemeClr w14:val="tx1"/>
            </w14:solidFill>
          </w14:textFill>
        </w:rPr>
        <w:br w:type="page"/>
      </w:r>
      <w:r>
        <w:rPr>
          <w:rFonts w:hint="default" w:ascii="Times New Roman" w:hAnsi="Times New Roman" w:eastAsia="黑体" w:cs="Times New Roman"/>
          <w:color w:val="000000" w:themeColor="text1"/>
          <w:sz w:val="32"/>
          <w:szCs w:val="32"/>
          <w14:textFill>
            <w14:solidFill>
              <w14:schemeClr w14:val="tx1"/>
            </w14:solidFill>
          </w14:textFill>
        </w:rPr>
        <w:t>二、指骨骨折中医临床路径住院表单</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适用对象：第一诊断为指骨骨折（TCD编码：BGG000，ICD-10编码：S62.500）</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患者姓名：</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性别：</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年龄：</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门诊号：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住院号：</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发病时间：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时 住院日期：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 出院日期：</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年</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月</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300" w:lineRule="exact"/>
        <w:jc w:val="both"/>
        <w:textAlignment w:val="auto"/>
        <w:rPr>
          <w:rFonts w:hint="eastAsia" w:ascii="方正书宋简体" w:hAnsi="方正书宋简体" w:eastAsia="方正书宋简体" w:cs="方正书宋简体"/>
          <w:color w:val="000000" w:themeColor="text1"/>
          <w:sz w:val="20"/>
          <w:szCs w:val="20"/>
          <w14:textFill>
            <w14:solidFill>
              <w14:schemeClr w14:val="tx1"/>
            </w14:solidFill>
          </w14:textFill>
        </w:rPr>
      </w:pPr>
      <w:r>
        <w:rPr>
          <w:rFonts w:hint="eastAsia" w:ascii="方正书宋简体" w:hAnsi="方正书宋简体" w:eastAsia="方正书宋简体" w:cs="方正书宋简体"/>
          <w:color w:val="000000" w:themeColor="text1"/>
          <w:sz w:val="20"/>
          <w:szCs w:val="20"/>
          <w14:textFill>
            <w14:solidFill>
              <w14:schemeClr w14:val="tx1"/>
            </w14:solidFill>
          </w14:textFill>
        </w:rPr>
        <w:t>标准住院日≥7天               实际住院日：</w:t>
      </w:r>
      <w:r>
        <w:rPr>
          <w:rFonts w:hint="eastAsia" w:ascii="方正书宋简体" w:hAnsi="方正书宋简体" w:eastAsia="方正书宋简体" w:cs="方正书宋简体"/>
          <w:color w:val="000000" w:themeColor="text1"/>
          <w:sz w:val="20"/>
          <w:szCs w:val="20"/>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20"/>
          <w:szCs w:val="20"/>
          <w14:textFill>
            <w14:solidFill>
              <w14:schemeClr w14:val="tx1"/>
            </w14:solidFill>
          </w14:textFill>
        </w:rPr>
        <w:t xml:space="preserve"> 天 </w:t>
      </w:r>
    </w:p>
    <w:tbl>
      <w:tblPr>
        <w:tblStyle w:val="9"/>
        <w:tblW w:w="48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2937"/>
        <w:gridCol w:w="2758"/>
        <w:gridCol w:w="2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1658"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（第1天）</w:t>
            </w:r>
          </w:p>
        </w:tc>
        <w:tc>
          <w:tcPr>
            <w:tcW w:w="1557"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第2天）</w:t>
            </w:r>
          </w:p>
        </w:tc>
        <w:tc>
          <w:tcPr>
            <w:tcW w:w="1481" w:type="pct"/>
            <w:vAlign w:val="top"/>
          </w:tcPr>
          <w:p>
            <w:pPr>
              <w:keepNext w:val="0"/>
              <w:keepLines w:val="0"/>
              <w:pageBreakBefore w:val="0"/>
              <w:widowControl/>
              <w:kinsoku/>
              <w:wordWrap/>
              <w:overflowPunct/>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overflowPunct/>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（第3—7天）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 w:type="pct"/>
            <w:textDirection w:val="tbRlV"/>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1658"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□询问病史、体格检查</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□下达医嘱、开出各项检查单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□完成首次病程记录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□完成入院记录</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□完成初步诊断</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□签署“麻醉知情同意书”（必要时）</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□麻醉（必要时）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□闭合复位、外固定治疗</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□骨折复位评估，如需要再次复位，由上级医师完成</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w:t>
            </w:r>
            <w:r>
              <w:rPr>
                <w:rFonts w:hint="eastAsia" w:ascii="方正书宋简体" w:hAnsi="方正书宋简体" w:eastAsia="方正书宋简体" w:cs="方正书宋简体"/>
                <w:bCs/>
                <w:color w:val="000000" w:themeColor="text1"/>
                <w:spacing w:val="-6"/>
                <w:sz w:val="18"/>
                <w:szCs w:val="18"/>
                <w14:textFill>
                  <w14:solidFill>
                    <w14:schemeClr w14:val="tx1"/>
                  </w14:solidFill>
                </w14:textFill>
              </w:rPr>
              <w:t>与家属沟通，交代病情及注意事项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bCs/>
                <w:color w:val="000000" w:themeColor="text1"/>
                <w:sz w:val="18"/>
                <w:szCs w:val="18"/>
                <w14:textFill>
                  <w14:solidFill>
                    <w14:schemeClr w14:val="tx1"/>
                  </w14:solidFill>
                </w14:textFill>
              </w:rPr>
              <w:t>□密切观察、防治并发症</w:t>
            </w:r>
          </w:p>
        </w:tc>
        <w:tc>
          <w:tcPr>
            <w:tcW w:w="1557" w:type="pct"/>
          </w:tcPr>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□完成上级医师查房及记录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□骨折复位评估</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□观察血运、感觉、功能活动、外固定松紧度等情况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□完成各项辅助检查 </w:t>
            </w:r>
          </w:p>
          <w:p>
            <w:pPr>
              <w:keepNext w:val="0"/>
              <w:keepLines w:val="0"/>
              <w:pageBreakBefore w:val="0"/>
              <w:kinsoku/>
              <w:wordWrap/>
              <w:overflowPunct/>
              <w:topLinePunct w:val="0"/>
              <w:autoSpaceDE/>
              <w:autoSpaceDN/>
              <w:bidi w:val="0"/>
              <w:adjustRightInd w:val="0"/>
              <w:snapToGrid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□向患者或家属交代病情和注意事项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□相关科室会诊与治疗（必要时）</w:t>
            </w:r>
          </w:p>
        </w:tc>
        <w:tc>
          <w:tcPr>
            <w:tcW w:w="1481"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pacing w:val="-6"/>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6"/>
                <w:sz w:val="18"/>
                <w:szCs w:val="18"/>
                <w14:textFill>
                  <w14:solidFill>
                    <w14:schemeClr w14:val="tx1"/>
                  </w14:solidFill>
                </w14:textFill>
              </w:rPr>
              <w:t>完成上级医师查房及病程记录</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□根据患者病情变化及时调整治疗方案</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 w:type="pct"/>
            <w:textDirection w:val="tbRlV"/>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1658"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□骨伤科常规护理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□血常规、尿、便常规</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□心电图</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□肝功能、肾功能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□凝血功能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□复位后复查X线片评估</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□开具中药处方</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□中医特色治疗，如：隔物灸</w:t>
            </w:r>
          </w:p>
        </w:tc>
        <w:tc>
          <w:tcPr>
            <w:tcW w:w="155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□分级护理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□对异常检查结果进行评估，必要时复查</w:t>
            </w:r>
          </w:p>
        </w:tc>
        <w:tc>
          <w:tcPr>
            <w:tcW w:w="1481"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01"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护理</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工作</w:t>
            </w:r>
          </w:p>
        </w:tc>
        <w:tc>
          <w:tcPr>
            <w:tcW w:w="1658"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□入院介绍</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□入院健康教育</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□介绍入院检查前注意事项   </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□按照医嘱执行诊疗护理措施</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□完成麻醉前各项护理操作（必要时）</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tc>
        <w:tc>
          <w:tcPr>
            <w:tcW w:w="1557"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1481" w:type="pct"/>
          </w:tcPr>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spacing w:line="240" w:lineRule="exact"/>
              <w:ind w:left="180" w:right="-63" w:rightChars="-3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301"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165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55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148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01" w:type="pct"/>
            <w:vAlign w:val="center"/>
          </w:tcPr>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5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5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8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301" w:type="pct"/>
            <w:vAlign w:val="center"/>
          </w:tcPr>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overflowPunct/>
              <w:topLinePunct w:val="0"/>
              <w:autoSpaceDE/>
              <w:autoSpaceDN/>
              <w:bidi w:val="0"/>
              <w:adjustRightInd/>
              <w:snapToGrid/>
              <w:spacing w:line="240" w:lineRule="exact"/>
              <w:ind w:left="-42" w:leftChars="-20" w:right="-42" w:rightChars="-2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1658"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557"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1481" w:type="pct"/>
          </w:tcPr>
          <w:p>
            <w:pPr>
              <w:keepNext w:val="0"/>
              <w:keepLines w:val="0"/>
              <w:pageBreakBefore w:val="0"/>
              <w:widowControl/>
              <w:kinsoku/>
              <w:wordWrap/>
              <w:overflowPunct/>
              <w:topLinePunct w:val="0"/>
              <w:autoSpaceDE/>
              <w:autoSpaceDN/>
              <w:bidi w:val="0"/>
              <w:spacing w:line="240" w:lineRule="exact"/>
              <w:ind w:right="-63" w:rightChars="-3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keepNext w:val="0"/>
        <w:keepLines w:val="0"/>
        <w:pageBreakBefore w:val="0"/>
        <w:kinsoku/>
        <w:wordWrap/>
        <w:topLinePunct w:val="0"/>
        <w:autoSpaceDE/>
        <w:autoSpaceDN/>
        <w:bidi w:val="0"/>
        <w:spacing w:line="240" w:lineRule="exact"/>
        <w:jc w:val="both"/>
        <w:textAlignment w:val="auto"/>
        <w:rPr>
          <w:rFonts w:hint="default" w:ascii="Times New Roman" w:hAnsi="Times New Roman" w:cs="Times New Roman"/>
          <w:color w:val="000000" w:themeColor="text1"/>
          <w:sz w:val="18"/>
          <w:szCs w:val="18"/>
          <w14:textFill>
            <w14:solidFill>
              <w14:schemeClr w14:val="tx1"/>
            </w14:solidFill>
          </w14:textFill>
        </w:rPr>
      </w:pPr>
    </w:p>
    <w:tbl>
      <w:tblPr>
        <w:tblStyle w:val="9"/>
        <w:tblW w:w="491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4077"/>
        <w:gridCol w:w="4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时间</w:t>
            </w:r>
          </w:p>
        </w:tc>
        <w:tc>
          <w:tcPr>
            <w:tcW w:w="2287" w:type="pct"/>
            <w:vAlign w:val="top"/>
          </w:tcPr>
          <w:p>
            <w:pPr>
              <w:keepNext w:val="0"/>
              <w:keepLines w:val="0"/>
              <w:pageBreakBefore w:val="0"/>
              <w:widowControl/>
              <w:kinsoku/>
              <w:wordWrap/>
              <w:topLinePunct w:val="0"/>
              <w:autoSpaceDE/>
              <w:autoSpaceDN/>
              <w:bidi w:val="0"/>
              <w:adjustRightInd w:val="0"/>
              <w:snapToGrid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（第8—13天）</w:t>
            </w:r>
          </w:p>
        </w:tc>
        <w:tc>
          <w:tcPr>
            <w:tcW w:w="2287" w:type="pct"/>
            <w:vAlign w:val="top"/>
          </w:tcPr>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 xml:space="preserve"> 年</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月</w:t>
            </w:r>
            <w:r>
              <w:rPr>
                <w:rFonts w:hint="eastAsia" w:ascii="方正书宋简体" w:hAnsi="方正书宋简体" w:eastAsia="方正书宋简体" w:cs="方正书宋简体"/>
                <w:color w:val="000000" w:themeColor="text1"/>
                <w:sz w:val="18"/>
                <w:szCs w:val="18"/>
                <w:u w:val="single"/>
                <w14:textFill>
                  <w14:solidFill>
                    <w14:schemeClr w14:val="tx1"/>
                  </w14:solidFill>
                </w14:textFill>
              </w:rPr>
              <w:t xml:space="preserve">  </w:t>
            </w:r>
            <w:r>
              <w:rPr>
                <w:rFonts w:hint="eastAsia" w:ascii="方正书宋简体" w:hAnsi="方正书宋简体" w:eastAsia="方正书宋简体" w:cs="方正书宋简体"/>
                <w:color w:val="000000" w:themeColor="text1"/>
                <w:sz w:val="18"/>
                <w:szCs w:val="18"/>
                <w14:textFill>
                  <w14:solidFill>
                    <w14:schemeClr w14:val="tx1"/>
                  </w14:solidFill>
                </w14:textFill>
              </w:rPr>
              <w:t>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（第14天）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7" w:hRule="atLeast"/>
          <w:jc w:val="center"/>
        </w:trPr>
        <w:tc>
          <w:tcPr>
            <w:tcW w:w="425" w:type="pct"/>
            <w:textDirection w:val="tbRlV"/>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主要诊疗工作</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□上级医师查房与诊疗评估，明确出院时间</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□观察舌脉象、肿胀、疼痛情况，及时调整外固定松紧度</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□完成出院记录</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□开具出院诊断书</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□向患者或家属交代出院注意事项及随诊方案</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3" w:hRule="atLeast"/>
          <w:jc w:val="center"/>
        </w:trPr>
        <w:tc>
          <w:tcPr>
            <w:tcW w:w="425" w:type="pct"/>
            <w:textDirection w:val="tbRlV"/>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重点医嘱</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□骨伤科常规护理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□分级护理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□普食</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□中药辨证施治</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□调整外固定</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□复查X线片（必要时）</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□停止所有长期医嘱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临时医嘱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□开具出院医嘱</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□出院带药</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42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要</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理</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工</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作</w:t>
            </w:r>
          </w:p>
        </w:tc>
        <w:tc>
          <w:tcPr>
            <w:tcW w:w="2287" w:type="pct"/>
          </w:tcPr>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□按医嘱进行治疗</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□中医情志疏导、健康教育与生活护理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□饮食指导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□观察肿胀、疼痛、末梢血循、外固定松紧度等情况及护理</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□指导功能锻炼</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□夜间巡视</w:t>
            </w:r>
          </w:p>
        </w:tc>
        <w:tc>
          <w:tcPr>
            <w:tcW w:w="2287" w:type="pct"/>
          </w:tcPr>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指导患者出院后功能康复训练</w:t>
            </w:r>
          </w:p>
          <w:p>
            <w:pPr>
              <w:keepNext w:val="0"/>
              <w:keepLines w:val="0"/>
              <w:pageBreakBefore w:val="0"/>
              <w:widowControl/>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□交代出院后注意事项，进行卫生宣教</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□指导出院带药的煎法服法及用药注意事项</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w:t>
            </w: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协助办理出院手续</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sz w:val="18"/>
                <w:szCs w:val="18"/>
                <w14:textFill>
                  <w14:solidFill>
                    <w14:schemeClr w14:val="tx1"/>
                  </w14:solidFill>
                </w14:textFill>
              </w:rPr>
              <w:t>□送病人出院</w:t>
            </w:r>
          </w:p>
          <w:p>
            <w:pPr>
              <w:keepNext w:val="0"/>
              <w:keepLines w:val="0"/>
              <w:pageBreakBefore w:val="0"/>
              <w:kinsoku/>
              <w:wordWrap/>
              <w:overflowPunct/>
              <w:topLinePunct w:val="0"/>
              <w:autoSpaceDE/>
              <w:autoSpaceDN/>
              <w:bidi w:val="0"/>
              <w:adjustRightInd/>
              <w:snapToGrid/>
              <w:spacing w:line="240" w:lineRule="exact"/>
              <w:ind w:left="180" w:hanging="180" w:hangingChars="100"/>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2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病情</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变异</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记录</w:t>
            </w:r>
          </w:p>
        </w:tc>
        <w:tc>
          <w:tcPr>
            <w:tcW w:w="2287"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 xml:space="preserve">□无  </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c>
          <w:tcPr>
            <w:tcW w:w="2287" w:type="pct"/>
            <w:vAlign w:val="center"/>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□有，原因：</w:t>
            </w:r>
          </w:p>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1.</w:t>
            </w:r>
          </w:p>
          <w:p>
            <w:pPr>
              <w:keepNext w:val="0"/>
              <w:keepLines w:val="0"/>
              <w:pageBreakBefore w:val="0"/>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425" w:type="pct"/>
            <w:vAlign w:val="center"/>
          </w:tcPr>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责任</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护士</w:t>
            </w:r>
          </w:p>
          <w:p>
            <w:pPr>
              <w:keepNext w:val="0"/>
              <w:keepLines w:val="0"/>
              <w:pageBreakBefore w:val="0"/>
              <w:widowControl/>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287"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87"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425" w:type="pct"/>
            <w:vAlign w:val="center"/>
          </w:tcPr>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医师</w:t>
            </w:r>
          </w:p>
          <w:p>
            <w:pPr>
              <w:keepNext w:val="0"/>
              <w:keepLines w:val="0"/>
              <w:pageBreakBefore w:val="0"/>
              <w:kinsoku/>
              <w:wordWrap/>
              <w:topLinePunct w:val="0"/>
              <w:autoSpaceDE/>
              <w:autoSpaceDN/>
              <w:bidi w:val="0"/>
              <w:spacing w:line="240" w:lineRule="exact"/>
              <w:ind w:left="0" w:leftChars="0" w:right="0" w:rightChars="0" w:firstLine="0" w:firstLineChars="0"/>
              <w:jc w:val="center"/>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r>
              <w:rPr>
                <w:rFonts w:hint="eastAsia" w:ascii="方正书宋简体" w:hAnsi="方正书宋简体" w:eastAsia="方正书宋简体" w:cs="方正书宋简体"/>
                <w:color w:val="000000" w:themeColor="text1"/>
                <w:kern w:val="0"/>
                <w:sz w:val="18"/>
                <w:szCs w:val="18"/>
                <w14:textFill>
                  <w14:solidFill>
                    <w14:schemeClr w14:val="tx1"/>
                  </w14:solidFill>
                </w14:textFill>
              </w:rPr>
              <w:t>签名</w:t>
            </w:r>
          </w:p>
        </w:tc>
        <w:tc>
          <w:tcPr>
            <w:tcW w:w="2287"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c>
          <w:tcPr>
            <w:tcW w:w="2287" w:type="pct"/>
          </w:tcPr>
          <w:p>
            <w:pPr>
              <w:keepNext w:val="0"/>
              <w:keepLines w:val="0"/>
              <w:pageBreakBefore w:val="0"/>
              <w:widowControl/>
              <w:kinsoku/>
              <w:wordWrap/>
              <w:topLinePunct w:val="0"/>
              <w:autoSpaceDE/>
              <w:autoSpaceDN/>
              <w:bidi w:val="0"/>
              <w:spacing w:line="240" w:lineRule="exact"/>
              <w:jc w:val="both"/>
              <w:textAlignment w:val="auto"/>
              <w:rPr>
                <w:rFonts w:hint="eastAsia" w:ascii="方正书宋简体" w:hAnsi="方正书宋简体" w:eastAsia="方正书宋简体" w:cs="方正书宋简体"/>
                <w:color w:val="000000" w:themeColor="text1"/>
                <w:kern w:val="0"/>
                <w:sz w:val="18"/>
                <w:szCs w:val="18"/>
                <w14:textFill>
                  <w14:solidFill>
                    <w14:schemeClr w14:val="tx1"/>
                  </w14:solidFill>
                </w14:textFill>
              </w:rPr>
            </w:pPr>
          </w:p>
        </w:tc>
      </w:tr>
    </w:tbl>
    <w:p>
      <w:pPr>
        <w:pStyle w:val="2"/>
        <w:rPr>
          <w:rFonts w:hint="default" w:ascii="Calibri" w:hAnsi="Calibri" w:eastAsia="宋体" w:cs="Times New Roman"/>
          <w:color w:val="000000" w:themeColor="text1"/>
          <w:kern w:val="2"/>
          <w:sz w:val="21"/>
          <w:szCs w:val="22"/>
          <w:lang w:val="en-US" w:eastAsia="zh-CN" w:bidi="ar-SA"/>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906" w:h="16838"/>
      <w:pgMar w:top="1984" w:right="1531" w:bottom="1701" w:left="1531" w:header="1361" w:footer="992" w:gutter="0"/>
      <w:pgNumType w:fmt="decimal"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2816BD-3054-493C-A0BB-25BC3AE488B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A9593D1-372A-46BC-B776-F08E8EB17ABA}"/>
  </w:font>
  <w:font w:name="仿宋_GB2312">
    <w:panose1 w:val="02010609030101010101"/>
    <w:charset w:val="86"/>
    <w:family w:val="modern"/>
    <w:pitch w:val="default"/>
    <w:sig w:usb0="00000001" w:usb1="080E0000" w:usb2="00000000" w:usb3="00000000" w:csb0="00040000" w:csb1="00000000"/>
    <w:embedRegular r:id="rId3" w:fontKey="{C3A7816C-EAC1-4F64-81AB-D5910B8E0A33}"/>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embedRegular r:id="rId4" w:fontKey="{30E1C63D-8784-4C07-906C-DB6827EBBCFE}"/>
  </w:font>
  <w:font w:name="方正书宋简体">
    <w:altName w:val="宋体"/>
    <w:panose1 w:val="03000509000000000000"/>
    <w:charset w:val="86"/>
    <w:family w:val="auto"/>
    <w:pitch w:val="default"/>
    <w:sig w:usb0="00000000" w:usb1="00000000" w:usb2="00000000" w:usb3="00000000" w:csb0="00040000" w:csb1="00000000"/>
    <w:embedRegular r:id="rId5" w:fontKey="{AEBE61D6-D547-40D5-AE3A-EF1DEBFC71E4}"/>
  </w:font>
  <w:font w:name="FangSong_GB2312">
    <w:altName w:val="仿宋_GB2312"/>
    <w:panose1 w:val="02010609030101010101"/>
    <w:charset w:val="86"/>
    <w:family w:val="swiss"/>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bidi w:val="0"/>
      <w:adjustRightInd/>
      <w:snapToGrid w:val="0"/>
      <w:spacing w:line="240" w:lineRule="auto"/>
      <w:textAlignment w:val="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bidi w:val="0"/>
      <w:adjustRightInd/>
      <w:snapToGrid w:val="0"/>
      <w:spacing w:line="240" w:lineRule="auto"/>
      <w:textAlignment w:val="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bidi w:val="0"/>
      <w:adjustRightInd/>
      <w:snapToGrid w:val="0"/>
      <w:spacing w:line="240" w:lineRule="auto"/>
      <w:textAlignment w:val="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13EA1"/>
    <w:multiLevelType w:val="singleLevel"/>
    <w:tmpl w:val="CE213EA1"/>
    <w:lvl w:ilvl="0" w:tentative="0">
      <w:start w:val="1"/>
      <w:numFmt w:val="decimal"/>
      <w:suff w:val="nothing"/>
      <w:lvlText w:val="（%1）"/>
      <w:lvlJc w:val="left"/>
      <w:rPr>
        <w:rFonts w:cs="Times New Roman"/>
      </w:rPr>
    </w:lvl>
  </w:abstractNum>
  <w:abstractNum w:abstractNumId="1">
    <w:nsid w:val="39B0CDFF"/>
    <w:multiLevelType w:val="singleLevel"/>
    <w:tmpl w:val="39B0CDFF"/>
    <w:lvl w:ilvl="0" w:tentative="0">
      <w:start w:val="1"/>
      <w:numFmt w:val="decimal"/>
      <w:suff w:val="nothing"/>
      <w:lvlText w:val="（%1）"/>
      <w:lvlJc w:val="left"/>
      <w:pPr>
        <w:ind w:left="-60"/>
      </w:pPr>
      <w:rPr>
        <w:rFonts w:cs="Times New Roman"/>
      </w:rPr>
    </w:lvl>
  </w:abstractNum>
  <w:abstractNum w:abstractNumId="2">
    <w:nsid w:val="3AB40B8E"/>
    <w:multiLevelType w:val="singleLevel"/>
    <w:tmpl w:val="3AB40B8E"/>
    <w:lvl w:ilvl="0" w:tentative="0">
      <w:start w:val="2"/>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MzRkZDJiY2Q2ODRmZjgxNGZjYWVkY2NiODJiMTEifQ=="/>
  </w:docVars>
  <w:rsids>
    <w:rsidRoot w:val="00733F0E"/>
    <w:rsid w:val="0000263C"/>
    <w:rsid w:val="00022071"/>
    <w:rsid w:val="000631A0"/>
    <w:rsid w:val="00101EA5"/>
    <w:rsid w:val="00131FD4"/>
    <w:rsid w:val="00152D18"/>
    <w:rsid w:val="00156302"/>
    <w:rsid w:val="001A00C5"/>
    <w:rsid w:val="001D0DB0"/>
    <w:rsid w:val="00211614"/>
    <w:rsid w:val="0025381E"/>
    <w:rsid w:val="002555AB"/>
    <w:rsid w:val="002A0D2E"/>
    <w:rsid w:val="002A5E80"/>
    <w:rsid w:val="003023E4"/>
    <w:rsid w:val="00362159"/>
    <w:rsid w:val="00392679"/>
    <w:rsid w:val="003A4BE1"/>
    <w:rsid w:val="003D3D33"/>
    <w:rsid w:val="00414E58"/>
    <w:rsid w:val="00470E8A"/>
    <w:rsid w:val="004B60AB"/>
    <w:rsid w:val="004E54ED"/>
    <w:rsid w:val="004F6DEE"/>
    <w:rsid w:val="00502666"/>
    <w:rsid w:val="005931C3"/>
    <w:rsid w:val="005E1137"/>
    <w:rsid w:val="006103E8"/>
    <w:rsid w:val="00632D0D"/>
    <w:rsid w:val="00657320"/>
    <w:rsid w:val="006D6BA9"/>
    <w:rsid w:val="006F4FE4"/>
    <w:rsid w:val="00710E28"/>
    <w:rsid w:val="00720EEA"/>
    <w:rsid w:val="00733F0E"/>
    <w:rsid w:val="00736909"/>
    <w:rsid w:val="00756991"/>
    <w:rsid w:val="008244C2"/>
    <w:rsid w:val="00893338"/>
    <w:rsid w:val="00895922"/>
    <w:rsid w:val="008B4004"/>
    <w:rsid w:val="00934B2E"/>
    <w:rsid w:val="00985682"/>
    <w:rsid w:val="009B7EC9"/>
    <w:rsid w:val="009C632D"/>
    <w:rsid w:val="00A17508"/>
    <w:rsid w:val="00A77690"/>
    <w:rsid w:val="00AA0F26"/>
    <w:rsid w:val="00AA6ECF"/>
    <w:rsid w:val="00AF1664"/>
    <w:rsid w:val="00BC26BD"/>
    <w:rsid w:val="00BF0E9A"/>
    <w:rsid w:val="00C25F30"/>
    <w:rsid w:val="00C64FF9"/>
    <w:rsid w:val="00C94727"/>
    <w:rsid w:val="00CC267A"/>
    <w:rsid w:val="00D10A2D"/>
    <w:rsid w:val="00D50BD7"/>
    <w:rsid w:val="00D523DE"/>
    <w:rsid w:val="00D74B25"/>
    <w:rsid w:val="00D85BC4"/>
    <w:rsid w:val="00D85D36"/>
    <w:rsid w:val="00DA2CD4"/>
    <w:rsid w:val="00E23181"/>
    <w:rsid w:val="00E27D5C"/>
    <w:rsid w:val="00E40081"/>
    <w:rsid w:val="00E4784B"/>
    <w:rsid w:val="00E755B1"/>
    <w:rsid w:val="00E9385F"/>
    <w:rsid w:val="00EA5BE4"/>
    <w:rsid w:val="00EF068F"/>
    <w:rsid w:val="00EF439C"/>
    <w:rsid w:val="00F11A99"/>
    <w:rsid w:val="00F17CA3"/>
    <w:rsid w:val="00F30495"/>
    <w:rsid w:val="00F65B0B"/>
    <w:rsid w:val="00FB26DE"/>
    <w:rsid w:val="022B20FA"/>
    <w:rsid w:val="032D0AAA"/>
    <w:rsid w:val="0364087A"/>
    <w:rsid w:val="05783BB1"/>
    <w:rsid w:val="05D01E67"/>
    <w:rsid w:val="0B900F77"/>
    <w:rsid w:val="0FE313FD"/>
    <w:rsid w:val="108B2143"/>
    <w:rsid w:val="10C90323"/>
    <w:rsid w:val="136441CE"/>
    <w:rsid w:val="14F3352C"/>
    <w:rsid w:val="15F74A50"/>
    <w:rsid w:val="179813FC"/>
    <w:rsid w:val="1B001255"/>
    <w:rsid w:val="1C0D70A6"/>
    <w:rsid w:val="1CAE389A"/>
    <w:rsid w:val="1D5C7B62"/>
    <w:rsid w:val="1E251167"/>
    <w:rsid w:val="20B47E17"/>
    <w:rsid w:val="21FC6E72"/>
    <w:rsid w:val="254F451B"/>
    <w:rsid w:val="296B4F6F"/>
    <w:rsid w:val="29E13BDA"/>
    <w:rsid w:val="2B0D3583"/>
    <w:rsid w:val="2B5E7B9C"/>
    <w:rsid w:val="2DE040AB"/>
    <w:rsid w:val="2EA25DD5"/>
    <w:rsid w:val="30C1088E"/>
    <w:rsid w:val="33FE1676"/>
    <w:rsid w:val="354B3C14"/>
    <w:rsid w:val="356279EA"/>
    <w:rsid w:val="37436B42"/>
    <w:rsid w:val="375B6EB7"/>
    <w:rsid w:val="3B4C1641"/>
    <w:rsid w:val="3F7F0424"/>
    <w:rsid w:val="42373B63"/>
    <w:rsid w:val="42614A9B"/>
    <w:rsid w:val="43123A0B"/>
    <w:rsid w:val="44184095"/>
    <w:rsid w:val="46205483"/>
    <w:rsid w:val="46951900"/>
    <w:rsid w:val="476745C6"/>
    <w:rsid w:val="492F5D76"/>
    <w:rsid w:val="4D720CBA"/>
    <w:rsid w:val="5228491B"/>
    <w:rsid w:val="53A63401"/>
    <w:rsid w:val="548B151E"/>
    <w:rsid w:val="55C07385"/>
    <w:rsid w:val="59746759"/>
    <w:rsid w:val="5A8A625D"/>
    <w:rsid w:val="5D6E6935"/>
    <w:rsid w:val="5F954112"/>
    <w:rsid w:val="5FFA52C3"/>
    <w:rsid w:val="60E4111E"/>
    <w:rsid w:val="631958C6"/>
    <w:rsid w:val="65266A62"/>
    <w:rsid w:val="65AE14A3"/>
    <w:rsid w:val="675A799A"/>
    <w:rsid w:val="6925746C"/>
    <w:rsid w:val="6BE800CE"/>
    <w:rsid w:val="6EB371B8"/>
    <w:rsid w:val="6F182C61"/>
    <w:rsid w:val="6F831404"/>
    <w:rsid w:val="6FB1521A"/>
    <w:rsid w:val="702D6CAF"/>
    <w:rsid w:val="70732FD1"/>
    <w:rsid w:val="70B02058"/>
    <w:rsid w:val="749417EA"/>
    <w:rsid w:val="76F169A8"/>
    <w:rsid w:val="79AA4303"/>
    <w:rsid w:val="7BAE2986"/>
    <w:rsid w:val="7C3A639A"/>
    <w:rsid w:val="7F1B6943"/>
    <w:rsid w:val="7FDD4F15"/>
    <w:rsid w:val="7FEFD6F3"/>
    <w:rsid w:val="EB1DCCEA"/>
    <w:rsid w:val="FFCDD2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2" w:lineRule="exact"/>
      <w:jc w:val="both"/>
    </w:pPr>
    <w:rPr>
      <w:rFonts w:ascii="Calibri" w:hAnsi="Calibri" w:eastAsia="宋体" w:cs="Times New Roman"/>
      <w:kern w:val="2"/>
      <w:sz w:val="21"/>
      <w:szCs w:val="22"/>
      <w:lang w:val="en-US" w:eastAsia="zh-CN" w:bidi="ar-SA"/>
    </w:rPr>
  </w:style>
  <w:style w:type="character" w:default="1" w:styleId="11">
    <w:name w:val="Default Paragraph Font"/>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99"/>
    <w:rPr>
      <w:rFonts w:eastAsia="仿宋_GB2312"/>
      <w:szCs w:val="32"/>
    </w:rPr>
  </w:style>
  <w:style w:type="paragraph" w:styleId="3">
    <w:name w:val="index 5"/>
    <w:basedOn w:val="1"/>
    <w:next w:val="1"/>
    <w:qFormat/>
    <w:uiPriority w:val="0"/>
    <w:pPr>
      <w:ind w:left="1680"/>
    </w:pPr>
  </w:style>
  <w:style w:type="paragraph" w:styleId="4">
    <w:name w:val="annotation text"/>
    <w:basedOn w:val="1"/>
    <w:link w:val="16"/>
    <w:qFormat/>
    <w:uiPriority w:val="99"/>
    <w:pPr>
      <w:jc w:val="left"/>
    </w:pPr>
    <w:rPr>
      <w:rFonts w:ascii="Times New Roman" w:hAnsi="Times New Roman"/>
      <w:szCs w:val="24"/>
    </w:rPr>
  </w:style>
  <w:style w:type="paragraph" w:styleId="5">
    <w:name w:val="Body Text Indent 2"/>
    <w:basedOn w:val="1"/>
    <w:link w:val="18"/>
    <w:qFormat/>
    <w:uiPriority w:val="99"/>
    <w:pPr>
      <w:spacing w:after="120" w:line="480" w:lineRule="auto"/>
      <w:ind w:left="420" w:leftChars="200"/>
    </w:pPr>
    <w:rPr>
      <w:rFonts w:ascii="Times New Roman" w:hAnsi="Times New Roman"/>
      <w:szCs w:val="24"/>
    </w:rPr>
  </w:style>
  <w:style w:type="paragraph" w:styleId="6">
    <w:name w:val="footer"/>
    <w:basedOn w:val="1"/>
    <w:link w:val="20"/>
    <w:qFormat/>
    <w:uiPriority w:val="99"/>
    <w:pPr>
      <w:tabs>
        <w:tab w:val="center" w:pos="4153"/>
        <w:tab w:val="right" w:pos="8306"/>
      </w:tabs>
      <w:snapToGrid w:val="0"/>
      <w:jc w:val="left"/>
    </w:pPr>
    <w:rPr>
      <w:rFonts w:ascii="等线" w:hAnsi="等线" w:eastAsia="等线"/>
      <w:sz w:val="18"/>
      <w:szCs w:val="18"/>
    </w:rPr>
  </w:style>
  <w:style w:type="paragraph" w:styleId="7">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szCs w:val="24"/>
    </w:rPr>
  </w:style>
  <w:style w:type="paragraph" w:styleId="8">
    <w:name w:val="annotation subject"/>
    <w:basedOn w:val="4"/>
    <w:next w:val="4"/>
    <w:link w:val="24"/>
    <w:qFormat/>
    <w:uiPriority w:val="99"/>
    <w:rPr>
      <w:b/>
      <w:bCs/>
    </w:rPr>
  </w:style>
  <w:style w:type="table" w:styleId="10">
    <w:name w:val="Table Grid"/>
    <w:basedOn w:val="9"/>
    <w:qFormat/>
    <w:locked/>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99"/>
    <w:rPr>
      <w:rFonts w:cs="Times New Roman"/>
    </w:rPr>
  </w:style>
  <w:style w:type="character" w:styleId="13">
    <w:name w:val="annotation reference"/>
    <w:basedOn w:val="11"/>
    <w:qFormat/>
    <w:uiPriority w:val="99"/>
    <w:rPr>
      <w:rFonts w:cs="Times New Roman"/>
      <w:sz w:val="21"/>
      <w:szCs w:val="21"/>
    </w:rPr>
  </w:style>
  <w:style w:type="paragraph" w:styleId="14">
    <w:name w:val="List Paragraph"/>
    <w:basedOn w:val="1"/>
    <w:qFormat/>
    <w:uiPriority w:val="99"/>
    <w:pPr>
      <w:ind w:firstLine="420" w:firstLineChars="200"/>
    </w:pPr>
  </w:style>
  <w:style w:type="character" w:customStyle="1" w:styleId="15">
    <w:name w:val="Comment Text Char"/>
    <w:basedOn w:val="11"/>
    <w:link w:val="4"/>
    <w:semiHidden/>
    <w:qFormat/>
    <w:locked/>
    <w:uiPriority w:val="99"/>
    <w:rPr>
      <w:rFonts w:cs="Times New Roman"/>
    </w:rPr>
  </w:style>
  <w:style w:type="character" w:customStyle="1" w:styleId="16">
    <w:name w:val="Comment Text Char1"/>
    <w:basedOn w:val="11"/>
    <w:link w:val="4"/>
    <w:semiHidden/>
    <w:qFormat/>
    <w:locked/>
    <w:uiPriority w:val="99"/>
    <w:rPr>
      <w:rFonts w:eastAsia="宋体" w:cs="Times New Roman"/>
      <w:kern w:val="2"/>
      <w:sz w:val="24"/>
      <w:szCs w:val="24"/>
      <w:lang w:val="en-US" w:eastAsia="zh-CN" w:bidi="ar-SA"/>
    </w:rPr>
  </w:style>
  <w:style w:type="character" w:customStyle="1" w:styleId="17">
    <w:name w:val="Body Text Indent 2 Char"/>
    <w:basedOn w:val="11"/>
    <w:link w:val="5"/>
    <w:semiHidden/>
    <w:qFormat/>
    <w:locked/>
    <w:uiPriority w:val="99"/>
    <w:rPr>
      <w:rFonts w:cs="Times New Roman"/>
    </w:rPr>
  </w:style>
  <w:style w:type="character" w:customStyle="1" w:styleId="18">
    <w:name w:val="Body Text Indent 2 Char1"/>
    <w:basedOn w:val="11"/>
    <w:link w:val="5"/>
    <w:semiHidden/>
    <w:qFormat/>
    <w:locked/>
    <w:uiPriority w:val="99"/>
    <w:rPr>
      <w:rFonts w:eastAsia="宋体" w:cs="Times New Roman"/>
      <w:kern w:val="2"/>
      <w:sz w:val="24"/>
      <w:szCs w:val="24"/>
      <w:lang w:val="en-US" w:eastAsia="zh-CN" w:bidi="ar-SA"/>
    </w:rPr>
  </w:style>
  <w:style w:type="character" w:customStyle="1" w:styleId="19">
    <w:name w:val="Footer Char"/>
    <w:basedOn w:val="11"/>
    <w:link w:val="6"/>
    <w:semiHidden/>
    <w:qFormat/>
    <w:locked/>
    <w:uiPriority w:val="99"/>
    <w:rPr>
      <w:rFonts w:cs="Times New Roman"/>
      <w:sz w:val="18"/>
      <w:szCs w:val="18"/>
    </w:rPr>
  </w:style>
  <w:style w:type="character" w:customStyle="1" w:styleId="20">
    <w:name w:val="Footer Char1"/>
    <w:basedOn w:val="11"/>
    <w:link w:val="6"/>
    <w:qFormat/>
    <w:locked/>
    <w:uiPriority w:val="99"/>
    <w:rPr>
      <w:rFonts w:ascii="等线" w:hAnsi="等线" w:eastAsia="等线" w:cs="Times New Roman"/>
      <w:kern w:val="2"/>
      <w:sz w:val="18"/>
      <w:szCs w:val="18"/>
      <w:lang w:val="en-US" w:eastAsia="zh-CN" w:bidi="ar-SA"/>
    </w:rPr>
  </w:style>
  <w:style w:type="character" w:customStyle="1" w:styleId="21">
    <w:name w:val="Header Char"/>
    <w:basedOn w:val="11"/>
    <w:link w:val="7"/>
    <w:semiHidden/>
    <w:qFormat/>
    <w:locked/>
    <w:uiPriority w:val="99"/>
    <w:rPr>
      <w:rFonts w:cs="Times New Roman"/>
      <w:sz w:val="18"/>
      <w:szCs w:val="18"/>
    </w:rPr>
  </w:style>
  <w:style w:type="character" w:customStyle="1" w:styleId="22">
    <w:name w:val="Header Char1"/>
    <w:basedOn w:val="11"/>
    <w:link w:val="7"/>
    <w:qFormat/>
    <w:locked/>
    <w:uiPriority w:val="99"/>
    <w:rPr>
      <w:rFonts w:eastAsia="宋体" w:cs="Times New Roman"/>
      <w:kern w:val="2"/>
      <w:sz w:val="24"/>
      <w:szCs w:val="24"/>
      <w:lang w:val="en-US" w:eastAsia="zh-CN" w:bidi="ar-SA"/>
    </w:rPr>
  </w:style>
  <w:style w:type="character" w:customStyle="1" w:styleId="23">
    <w:name w:val="Comment Subject Char"/>
    <w:basedOn w:val="16"/>
    <w:link w:val="8"/>
    <w:semiHidden/>
    <w:qFormat/>
    <w:locked/>
    <w:uiPriority w:val="99"/>
    <w:rPr>
      <w:b/>
      <w:bCs/>
    </w:rPr>
  </w:style>
  <w:style w:type="character" w:customStyle="1" w:styleId="24">
    <w:name w:val="Comment Subject Char1"/>
    <w:basedOn w:val="16"/>
    <w:link w:val="8"/>
    <w:semiHidden/>
    <w:qFormat/>
    <w:locked/>
    <w:uiPriority w:val="99"/>
    <w:rPr>
      <w:b/>
      <w:bCs/>
    </w:rPr>
  </w:style>
  <w:style w:type="character" w:customStyle="1" w:styleId="25">
    <w:name w:val="font21"/>
    <w:qFormat/>
    <w:uiPriority w:val="99"/>
    <w:rPr>
      <w:rFonts w:ascii="微软雅黑" w:hAnsi="微软雅黑" w:eastAsia="微软雅黑"/>
      <w:color w:val="000000"/>
      <w:sz w:val="22"/>
      <w:u w:val="none"/>
    </w:rPr>
  </w:style>
  <w:style w:type="paragraph" w:customStyle="1" w:styleId="26">
    <w:name w:val="Revision"/>
    <w:qFormat/>
    <w:uiPriority w:val="99"/>
    <w:rPr>
      <w:rFonts w:ascii="Times New Roman" w:hAnsi="Times New Roman" w:eastAsia="宋体" w:cs="Times New Roman"/>
      <w:kern w:val="2"/>
      <w:sz w:val="21"/>
      <w:szCs w:val="24"/>
      <w:lang w:val="en-US" w:eastAsia="zh-CN" w:bidi="ar-SA"/>
    </w:rPr>
  </w:style>
  <w:style w:type="paragraph" w:customStyle="1" w:styleId="27">
    <w:name w:val="一级标题"/>
    <w:basedOn w:val="1"/>
    <w:link w:val="31"/>
    <w:qFormat/>
    <w:uiPriority w:val="0"/>
    <w:pPr>
      <w:overflowPunct w:val="0"/>
      <w:spacing w:line="592" w:lineRule="exact"/>
      <w:ind w:firstLine="31680" w:firstLineChars="200"/>
    </w:pPr>
    <w:rPr>
      <w:rFonts w:hint="eastAsia" w:ascii="黑体" w:hAnsi="黑体" w:eastAsia="黑体" w:cs="黑体"/>
      <w:sz w:val="32"/>
      <w:szCs w:val="32"/>
    </w:rPr>
  </w:style>
  <w:style w:type="paragraph" w:customStyle="1" w:styleId="28">
    <w:name w:val="二级楷体"/>
    <w:basedOn w:val="1"/>
    <w:link w:val="30"/>
    <w:qFormat/>
    <w:uiPriority w:val="0"/>
    <w:pPr>
      <w:overflowPunct w:val="0"/>
      <w:spacing w:line="592" w:lineRule="exact"/>
      <w:ind w:firstLine="31680" w:firstLineChars="200"/>
    </w:pPr>
    <w:rPr>
      <w:rFonts w:ascii="楷体_GB2312" w:hAnsi="楷体_GB2312" w:eastAsia="楷体_GB2312" w:cs="楷体_GB2312"/>
      <w:sz w:val="32"/>
    </w:rPr>
  </w:style>
  <w:style w:type="paragraph" w:customStyle="1" w:styleId="29">
    <w:name w:val="表格"/>
    <w:basedOn w:val="1"/>
    <w:qFormat/>
    <w:uiPriority w:val="0"/>
    <w:pPr>
      <w:adjustRightInd w:val="0"/>
      <w:snapToGrid w:val="0"/>
      <w:jc w:val="center"/>
    </w:pPr>
    <w:rPr>
      <w:rFonts w:hint="eastAsia" w:ascii="方正书宋简体" w:hAnsi="方正书宋简体" w:eastAsia="方正书宋简体" w:cs="方正书宋简体"/>
      <w:sz w:val="20"/>
      <w:szCs w:val="20"/>
    </w:rPr>
  </w:style>
  <w:style w:type="character" w:customStyle="1" w:styleId="30">
    <w:name w:val="二级楷体 Char"/>
    <w:link w:val="28"/>
    <w:qFormat/>
    <w:uiPriority w:val="0"/>
    <w:rPr>
      <w:rFonts w:ascii="楷体_GB2312" w:hAnsi="楷体_GB2312" w:eastAsia="楷体_GB2312" w:cs="楷体_GB2312"/>
      <w:sz w:val="32"/>
    </w:rPr>
  </w:style>
  <w:style w:type="character" w:customStyle="1" w:styleId="31">
    <w:name w:val="一级标题 Char"/>
    <w:link w:val="27"/>
    <w:qFormat/>
    <w:uiPriority w:val="0"/>
    <w:rPr>
      <w:rFonts w:hint="eastAsia" w:ascii="黑体" w:hAnsi="黑体" w:eastAsia="黑体" w:cs="黑体"/>
      <w:sz w:val="32"/>
      <w:szCs w:val="32"/>
    </w:rPr>
  </w:style>
  <w:style w:type="paragraph" w:customStyle="1" w:styleId="32">
    <w:name w:val="Default"/>
    <w:unhideWhenUsed/>
    <w:qFormat/>
    <w:uiPriority w:val="99"/>
    <w:pPr>
      <w:widowControl w:val="0"/>
      <w:autoSpaceDE w:val="0"/>
      <w:autoSpaceDN w:val="0"/>
      <w:adjustRightInd w:val="0"/>
      <w:spacing w:beforeLines="0" w:afterLines="0"/>
    </w:pPr>
    <w:rPr>
      <w:rFonts w:hint="eastAsia" w:ascii="FangSong_GB2312" w:hAnsi="FangSong_GB2312" w:eastAsia="FangSong_GB2312"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175</Pages>
  <Words>68526</Words>
  <Characters>73820</Characters>
  <Lines>0</Lines>
  <Paragraphs>0</Paragraphs>
  <TotalTime>2</TotalTime>
  <ScaleCrop>false</ScaleCrop>
  <LinksUpToDate>false</LinksUpToDate>
  <CharactersWithSpaces>77400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2023-07-14T08:12:00Z</dcterms:created>
  <dc:creator>Administrator</dc:creator>
  <cp:lastModifiedBy>岳明</cp:lastModifiedBy>
  <cp:lastPrinted>2023-07-14T08:13:00Z</cp:lastPrinted>
  <dcterms:modified xsi:type="dcterms:W3CDTF">2023-11-28T03:48:52Z</dcterms:modified>
  <dc:title>省医疗保障局党组2023年第15次会议材料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DD69FE247F8E406BB24AA0DFE224A155_13</vt:lpwstr>
  </property>
</Properties>
</file>