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auto"/>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四川省新修订医疗服务价格项目表</w:t>
      </w:r>
    </w:p>
    <w:tbl>
      <w:tblPr>
        <w:tblStyle w:val="4"/>
        <w:tblW w:w="147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6"/>
        <w:gridCol w:w="1316"/>
        <w:gridCol w:w="2176"/>
        <w:gridCol w:w="2560"/>
        <w:gridCol w:w="1288"/>
        <w:gridCol w:w="870"/>
        <w:gridCol w:w="2680"/>
        <w:gridCol w:w="683"/>
        <w:gridCol w:w="683"/>
        <w:gridCol w:w="664"/>
        <w:gridCol w:w="645"/>
        <w:gridCol w:w="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tblHeader/>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序号</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编码</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项目名称</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项目内涵</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除外内容</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kern w:val="0"/>
                <w:sz w:val="21"/>
                <w:szCs w:val="21"/>
                <w:u w:val="none"/>
                <w:lang w:val="en-US" w:eastAsia="zh-CN" w:bidi="ar"/>
              </w:rPr>
            </w:pPr>
            <w:r>
              <w:rPr>
                <w:rFonts w:hint="default" w:ascii="Times New Roman" w:hAnsi="Times New Roman" w:eastAsia="方正黑体_GBK" w:cs="Times New Roman"/>
                <w:b/>
                <w:bCs/>
                <w:i w:val="0"/>
                <w:iCs w:val="0"/>
                <w:color w:val="000000"/>
                <w:kern w:val="0"/>
                <w:sz w:val="21"/>
                <w:szCs w:val="21"/>
                <w:u w:val="none"/>
                <w:lang w:val="en-US" w:eastAsia="zh-CN" w:bidi="ar"/>
              </w:rPr>
              <w:t>计价</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单位</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计价说明</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三甲</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三乙</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二甲</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二乙</w:t>
            </w: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方正黑体_GBK" w:cs="Times New Roman"/>
                <w:b/>
                <w:bCs/>
                <w:i w:val="0"/>
                <w:iCs w:val="0"/>
                <w:color w:val="000000"/>
                <w:sz w:val="21"/>
                <w:szCs w:val="21"/>
                <w:u w:val="none"/>
              </w:rPr>
            </w:pPr>
            <w:r>
              <w:rPr>
                <w:rFonts w:hint="default" w:ascii="Times New Roman" w:hAnsi="Times New Roman" w:eastAsia="方正黑体_GBK" w:cs="Times New Roman"/>
                <w:b/>
                <w:bCs/>
                <w:i w:val="0"/>
                <w:iCs w:val="0"/>
                <w:color w:val="000000"/>
                <w:kern w:val="0"/>
                <w:sz w:val="21"/>
                <w:szCs w:val="21"/>
                <w:u w:val="none"/>
                <w:lang w:val="en-US" w:eastAsia="zh-CN" w:bidi="ar"/>
              </w:rPr>
              <w:t>二乙</w:t>
            </w:r>
            <w:r>
              <w:rPr>
                <w:rFonts w:hint="default" w:ascii="Times New Roman" w:hAnsi="Times New Roman" w:eastAsia="方正黑体_GBK" w:cs="Times New Roman"/>
                <w:b/>
                <w:bCs/>
                <w:i w:val="0"/>
                <w:iCs w:val="0"/>
                <w:color w:val="000000"/>
                <w:kern w:val="0"/>
                <w:sz w:val="21"/>
                <w:szCs w:val="21"/>
                <w:u w:val="none"/>
                <w:lang w:val="en-US" w:eastAsia="zh-CN" w:bidi="ar"/>
              </w:rPr>
              <w:br w:type="textWrapping"/>
            </w:r>
            <w:r>
              <w:rPr>
                <w:rFonts w:hint="default" w:ascii="Times New Roman" w:hAnsi="Times New Roman" w:eastAsia="方正黑体_GBK" w:cs="Times New Roman"/>
                <w:b/>
                <w:bCs/>
                <w:i w:val="0"/>
                <w:iCs w:val="0"/>
                <w:color w:val="000000"/>
                <w:kern w:val="0"/>
                <w:sz w:val="21"/>
                <w:szCs w:val="21"/>
                <w:u w:val="none"/>
                <w:lang w:val="en-US" w:eastAsia="zh-CN" w:bidi="ar"/>
              </w:rPr>
              <w:t>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120400011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中心静脉穿刺置管术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包括深静脉穿刺置</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管术</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中心静脉套</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件、测压套件</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增加：中心静脉导管</w:t>
            </w:r>
            <w:r>
              <w:rPr>
                <w:rFonts w:hint="default" w:ascii="Times New Roman" w:hAnsi="Times New Roman" w:eastAsia="宋体" w:cs="Times New Roman"/>
                <w:b/>
                <w:bCs/>
                <w:i w:val="0"/>
                <w:iCs w:val="0"/>
                <w:color w:val="000000"/>
                <w:kern w:val="0"/>
                <w:sz w:val="20"/>
                <w:szCs w:val="20"/>
                <w:highlight w:val="none"/>
                <w:u w:val="none"/>
                <w:lang w:val="en-US" w:eastAsia="zh-CN" w:bidi="ar"/>
              </w:rPr>
              <w:br w:type="textWrapping"/>
            </w:r>
            <w:r>
              <w:rPr>
                <w:rFonts w:hint="default" w:ascii="Times New Roman" w:hAnsi="Times New Roman" w:eastAsia="宋体" w:cs="Times New Roman"/>
                <w:b/>
                <w:bCs/>
                <w:i w:val="0"/>
                <w:iCs w:val="0"/>
                <w:color w:val="000000"/>
                <w:kern w:val="0"/>
                <w:sz w:val="20"/>
                <w:szCs w:val="20"/>
                <w:highlight w:val="none"/>
                <w:u w:val="none"/>
                <w:lang w:val="en-US" w:eastAsia="zh-CN" w:bidi="ar"/>
              </w:rPr>
              <w:t>拔管术收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120400011-2</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中心静脉导管拔管术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both"/>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both"/>
              <w:rPr>
                <w:rFonts w:hint="default" w:ascii="Times New Roman" w:hAnsi="Times New Roman" w:eastAsia="宋体" w:cs="Times New Roman"/>
                <w:b w:val="0"/>
                <w:bCs w:val="0"/>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jc w:val="center"/>
        </w:trPr>
        <w:tc>
          <w:tcPr>
            <w:tcW w:w="50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2</w:t>
            </w:r>
          </w:p>
        </w:tc>
        <w:tc>
          <w:tcPr>
            <w:tcW w:w="131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120700001</w:t>
            </w:r>
          </w:p>
        </w:tc>
        <w:tc>
          <w:tcPr>
            <w:tcW w:w="2176"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雾化吸入</w:t>
            </w:r>
          </w:p>
        </w:tc>
        <w:tc>
          <w:tcPr>
            <w:tcW w:w="256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包括超声、高压泵、氧化雾化、蒸气雾化吸入及机械通气经呼吸机管道雾化给药</w:t>
            </w:r>
          </w:p>
        </w:tc>
        <w:tc>
          <w:tcPr>
            <w:tcW w:w="1288"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药物，</w:t>
            </w:r>
            <w:r>
              <w:rPr>
                <w:rFonts w:hint="default" w:ascii="Times New Roman" w:hAnsi="Times New Roman" w:eastAsia="宋体" w:cs="Times New Roman"/>
                <w:b/>
                <w:bCs/>
                <w:i w:val="0"/>
                <w:iCs w:val="0"/>
                <w:color w:val="000000"/>
                <w:kern w:val="0"/>
                <w:sz w:val="20"/>
                <w:szCs w:val="20"/>
                <w:highlight w:val="none"/>
                <w:u w:val="none"/>
                <w:lang w:val="en-US" w:eastAsia="zh-CN" w:bidi="ar"/>
              </w:rPr>
              <w:t>增加： 一次性雾化器</w:t>
            </w:r>
          </w:p>
        </w:tc>
        <w:tc>
          <w:tcPr>
            <w:tcW w:w="87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sz w:val="20"/>
                <w:szCs w:val="20"/>
                <w:u w:val="none"/>
              </w:rPr>
            </w:pPr>
            <w:r>
              <w:rPr>
                <w:rFonts w:hint="default" w:ascii="Times New Roman" w:hAnsi="Times New Roman" w:eastAsia="宋体" w:cs="Times New Roman"/>
                <w:b w:val="0"/>
                <w:bCs w:val="0"/>
                <w:i w:val="0"/>
                <w:iCs w:val="0"/>
                <w:color w:val="000000"/>
                <w:kern w:val="0"/>
                <w:sz w:val="20"/>
                <w:szCs w:val="20"/>
                <w:u w:val="none"/>
                <w:lang w:val="en-US" w:eastAsia="zh-CN" w:bidi="ar"/>
              </w:rPr>
              <w:t>超声雾化吸入、高压泵雾化吸入、氧气雾化吸入、机械通气经呼吸机管道雾化给药加收 元</w:t>
            </w:r>
          </w:p>
        </w:tc>
        <w:tc>
          <w:tcPr>
            <w:tcW w:w="6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83"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64"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4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44"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2102</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磁共振扫描</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（MRI）</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含胶片冲洗、数据存储介质、增强扫描用注射器耗材</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造影剂、麻醉及其药物</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计价部位分为：颅脑、眼眶、垂体、中耳、颈部、胸部、心脏、上腹部、下腹部、颈椎、胸椎、腰椎、 双髋关节、膝关节、颞颌关节、其他。</w:t>
            </w:r>
            <w:r>
              <w:rPr>
                <w:rFonts w:hint="default" w:ascii="Times New Roman" w:hAnsi="Times New Roman" w:eastAsia="宋体" w:cs="Times New Roman"/>
                <w:b/>
                <w:bCs/>
                <w:i w:val="0"/>
                <w:iCs w:val="0"/>
                <w:color w:val="000000"/>
                <w:kern w:val="0"/>
                <w:sz w:val="20"/>
                <w:szCs w:val="20"/>
                <w:highlight w:val="none"/>
                <w:u w:val="none"/>
                <w:lang w:val="en-US" w:eastAsia="zh-CN" w:bidi="ar"/>
              </w:rPr>
              <w:t>增加计价部位：盆腔。增加：三维容积重建加收。</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宋体" w:cs="Times New Roman"/>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210200000-1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三维容积重建加收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250203051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血浆蛋白 C 活性测定（PC）</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增加：仪器法加收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250203051-1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血浆蛋白 C 活性测定（PC，仪器法加收）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250203054</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血浆蛋白 S 测定（PS）</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增加：仪器法加收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250203054-1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血浆蛋白 S 测定（PS，仪器法加收）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8"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250306011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血同型半胱氨酸测定</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指色谱法</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各种免疫学方法减收 元，荧光定量法加收 元，化学发光法加收 元。</w:t>
            </w:r>
            <w:r>
              <w:rPr>
                <w:rFonts w:hint="default" w:ascii="Times New Roman" w:hAnsi="Times New Roman" w:eastAsia="宋体" w:cs="Times New Roman"/>
                <w:b/>
                <w:bCs/>
                <w:i w:val="0"/>
                <w:iCs w:val="0"/>
                <w:color w:val="000000"/>
                <w:kern w:val="0"/>
                <w:sz w:val="20"/>
                <w:szCs w:val="20"/>
                <w:highlight w:val="none"/>
                <w:u w:val="none"/>
                <w:lang w:val="en-US" w:eastAsia="zh-CN" w:bidi="ar"/>
              </w:rPr>
              <w:t>增加：酶法减收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250306011-4</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血同型半胱氨酸测定（酶法）</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250310054</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降钙素原检测</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删除：免疫荧光定量分析法</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定性减收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50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250501009</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一般细菌培养及鉴定</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增加：质谱法加收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50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250501009-1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一般细菌培养及鉴定（质谱法加收）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250501011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血培养及鉴定</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仪器法加收 元。</w:t>
            </w:r>
            <w:r>
              <w:rPr>
                <w:rFonts w:hint="default" w:ascii="Times New Roman" w:hAnsi="Times New Roman" w:eastAsia="宋体" w:cs="Times New Roman"/>
                <w:b w:val="0"/>
                <w:bCs w:val="0"/>
                <w:i w:val="0"/>
                <w:iCs w:val="0"/>
                <w:color w:val="000000"/>
                <w:kern w:val="0"/>
                <w:sz w:val="20"/>
                <w:szCs w:val="20"/>
                <w:highlight w:val="none"/>
                <w:u w:val="none"/>
                <w:lang w:val="en-US" w:eastAsia="zh-CN" w:bidi="ar"/>
              </w:rPr>
              <w:br w:type="textWrapping"/>
            </w:r>
            <w:r>
              <w:rPr>
                <w:rFonts w:hint="default" w:ascii="Times New Roman" w:hAnsi="Times New Roman" w:eastAsia="宋体" w:cs="Times New Roman"/>
                <w:b/>
                <w:bCs/>
                <w:i w:val="0"/>
                <w:iCs w:val="0"/>
                <w:color w:val="000000"/>
                <w:kern w:val="0"/>
                <w:sz w:val="20"/>
                <w:szCs w:val="20"/>
                <w:highlight w:val="none"/>
                <w:u w:val="none"/>
                <w:lang w:val="en-US" w:eastAsia="zh-CN" w:bidi="ar"/>
              </w:rPr>
              <w:t>增加：质谱法加收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250501011-2</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血培养及鉴定</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（质谱法加收）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250501012</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厌氧菌培养及</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鉴定</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仪器法加收 元。</w:t>
            </w:r>
            <w:r>
              <w:rPr>
                <w:rFonts w:hint="default" w:ascii="Times New Roman" w:hAnsi="Times New Roman" w:eastAsia="宋体" w:cs="Times New Roman"/>
                <w:b w:val="0"/>
                <w:bCs w:val="0"/>
                <w:i w:val="0"/>
                <w:iCs w:val="0"/>
                <w:color w:val="000000"/>
                <w:kern w:val="0"/>
                <w:sz w:val="20"/>
                <w:szCs w:val="20"/>
                <w:highlight w:val="none"/>
                <w:u w:val="none"/>
                <w:lang w:val="en-US" w:eastAsia="zh-CN" w:bidi="ar"/>
              </w:rPr>
              <w:br w:type="textWrapping"/>
            </w:r>
            <w:r>
              <w:rPr>
                <w:rFonts w:hint="default" w:ascii="Times New Roman" w:hAnsi="Times New Roman" w:eastAsia="宋体" w:cs="Times New Roman"/>
                <w:b/>
                <w:bCs/>
                <w:i w:val="0"/>
                <w:iCs w:val="0"/>
                <w:color w:val="000000"/>
                <w:kern w:val="0"/>
                <w:sz w:val="20"/>
                <w:szCs w:val="20"/>
                <w:highlight w:val="none"/>
                <w:u w:val="none"/>
                <w:lang w:val="en-US" w:eastAsia="zh-CN" w:bidi="ar"/>
              </w:rPr>
              <w:t>增加：质谱法加收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250501012-2</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厌氧菌培养及鉴定（质谱法加收）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250501027</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真菌培养及</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鉴定</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增加：质谱法加收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250501027-1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真菌培养及鉴定（质谱法加收）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项</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250700010</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唐氏综合症</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筛查</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含检验项目；</w:t>
            </w:r>
            <w:r>
              <w:rPr>
                <w:rFonts w:hint="default" w:ascii="Times New Roman" w:hAnsi="Times New Roman" w:eastAsia="宋体" w:cs="Times New Roman"/>
                <w:b/>
                <w:bCs/>
                <w:i w:val="0"/>
                <w:iCs w:val="0"/>
                <w:color w:val="000000"/>
                <w:kern w:val="0"/>
                <w:sz w:val="20"/>
                <w:szCs w:val="20"/>
                <w:highlight w:val="none"/>
                <w:u w:val="none"/>
                <w:lang w:val="en-US" w:eastAsia="zh-CN" w:bidi="ar"/>
              </w:rPr>
              <w:t>删除：指时间分辨荧光免疫法</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同时查神经管缺陷加收 30%；查18—3体综合症加收20%。</w:t>
            </w:r>
            <w:r>
              <w:rPr>
                <w:rFonts w:hint="default" w:ascii="Times New Roman" w:hAnsi="Times New Roman" w:eastAsia="宋体" w:cs="Times New Roman"/>
                <w:b/>
                <w:bCs/>
                <w:i w:val="0"/>
                <w:iCs w:val="0"/>
                <w:color w:val="000000"/>
                <w:kern w:val="0"/>
                <w:sz w:val="20"/>
                <w:szCs w:val="20"/>
                <w:highlight w:val="none"/>
                <w:u w:val="none"/>
                <w:lang w:val="en-US" w:eastAsia="zh-CN" w:bidi="ar"/>
              </w:rPr>
              <w:t>增加：指二联筛查，每增加一联加收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250700010-3</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唐氏综合症筛查（每增加一联加收）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270500001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特殊染色及酶组织化学染色诊断</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每个</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标本， 每种 染色</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增加：每个标本每种染色仪器法加收 元，最多不超过5种染色。</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270500001-1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特殊染色及酶组织化学染色诊断（每个标本每种染色仪器法加收）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每个 标本， 每种 染色</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310208001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胰岛素泵持续皮下注射胰岛素</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增加：包括垂体激素泵持续皮下注射促性腺激素释放激素</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输注管路、储药器</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小时</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310208001-1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垂体激素泵持续皮下注射促性腺激素释放激素</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小时</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310300064</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光学相干断层成相（OCT）</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含测眼球后极组织厚度及断面相</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“次</w:t>
            </w:r>
            <w:r>
              <w:rPr>
                <w:rFonts w:hint="default" w:ascii="Times New Roman" w:hAnsi="Times New Roman" w:eastAsia="宋体" w:cs="Times New Roman"/>
                <w:b/>
                <w:bCs/>
                <w:i w:val="0"/>
                <w:iCs w:val="0"/>
                <w:color w:val="000000"/>
                <w:kern w:val="0"/>
                <w:sz w:val="20"/>
                <w:szCs w:val="20"/>
                <w:highlight w:val="none"/>
                <w:u w:val="none"/>
                <w:lang w:val="en-US" w:eastAsia="zh-CN" w:bidi="ar"/>
              </w:rPr>
              <w:br w:type="textWrapping"/>
            </w:r>
            <w:r>
              <w:rPr>
                <w:rFonts w:hint="default" w:ascii="Times New Roman" w:hAnsi="Times New Roman" w:eastAsia="宋体" w:cs="Times New Roman"/>
                <w:b/>
                <w:bCs/>
                <w:i w:val="0"/>
                <w:iCs w:val="0"/>
                <w:color w:val="000000"/>
                <w:kern w:val="0"/>
                <w:sz w:val="20"/>
                <w:szCs w:val="20"/>
                <w:highlight w:val="none"/>
                <w:u w:val="none"/>
                <w:lang w:val="en-US" w:eastAsia="zh-CN" w:bidi="ar"/>
              </w:rPr>
              <w:t>”修 订为： 单眼</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50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310702007</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永久起搏器</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安置术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起搏器、心导 管、电极</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增加：传导系统起搏加收 元，限心室起搏比例大于 40% 或再同步化治疗左室电极植入失败的患者适用。</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jc w:val="center"/>
        </w:trPr>
        <w:tc>
          <w:tcPr>
            <w:tcW w:w="50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310702007-1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永久起搏器安置术（传导系统起搏加收）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311000026</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经输尿管镜碎石取石术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highlight w:val="none"/>
                <w:u w:val="none"/>
                <w:lang w:val="en-US" w:eastAsia="zh-CN" w:bidi="ar"/>
              </w:rPr>
              <w:t>弹道法加收 元；</w:t>
            </w:r>
            <w:r>
              <w:rPr>
                <w:rFonts w:hint="default" w:ascii="Times New Roman" w:hAnsi="Times New Roman" w:eastAsia="宋体" w:cs="Times New Roman"/>
                <w:b/>
                <w:bCs/>
                <w:i w:val="0"/>
                <w:iCs w:val="0"/>
                <w:color w:val="000000"/>
                <w:kern w:val="0"/>
                <w:sz w:val="20"/>
                <w:szCs w:val="20"/>
                <w:highlight w:val="none"/>
                <w:u w:val="none"/>
                <w:lang w:val="en-US" w:eastAsia="zh-CN" w:bidi="ar"/>
              </w:rPr>
              <w:t>增加：激光法加收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311000026-2</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经输尿管镜碎石取石术（激光法加收）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320200007</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经皮动脉栓塞术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包括动脉瘤、肿瘤等</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栓塞剂</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增加：经皮静脉栓塞术减收 元，不与经皮动脉栓塞同时收费</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320200007-3</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经皮静脉栓塞术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19</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331400017</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选择性减胎术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增加：单绒毛膜多胎妊娠选择性减胎加收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331400017-1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选择性减胎术</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（单绒毛膜多胎妊娠选择性减胎加收）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4"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20</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HPB65601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经电子内镜食管胃十二指肠黏膜剥离术（ESD）</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咽部麻醉，润滑，消泡，经口插入电子胃镜，胃镜检查，寻查肿物，于肿物基底部注射肾上腺素甘油果糖（或高渗盐水及美蓝或靛胭脂）以抬举病变黏膜部分，采用电刀等进行剥离，切除治疗。图文报告。不含 监护、病理学检查。</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血管夹</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增加：结直肠（ESD）参照计费</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HPB65601-1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经电子内镜结直肠黏膜剥离术（ESD）</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21</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220302011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腔内彩色多普勒超声检查</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包括经阴道、经直肠</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增加：排卵监测减收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220302011-3</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腔内彩色多普勒超声检查（排卵监测）</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6"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22</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250302001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葡萄糖测定</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指各种酶法；包括血清、脑脊液、尿标本</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highlight w:val="none"/>
                <w:u w:val="none"/>
                <w:lang w:val="en-US" w:eastAsia="zh-CN" w:bidi="ar"/>
              </w:rPr>
              <w:t>干化学法加收 元；酶电极法加收 元。</w:t>
            </w:r>
            <w:r>
              <w:rPr>
                <w:rFonts w:hint="default" w:ascii="Times New Roman" w:hAnsi="Times New Roman" w:eastAsia="宋体" w:cs="Times New Roman"/>
                <w:b/>
                <w:bCs/>
                <w:i w:val="0"/>
                <w:iCs w:val="0"/>
                <w:color w:val="000000"/>
                <w:kern w:val="0"/>
                <w:sz w:val="20"/>
                <w:szCs w:val="20"/>
                <w:highlight w:val="none"/>
                <w:u w:val="none"/>
                <w:lang w:val="en-US" w:eastAsia="zh-CN" w:bidi="ar"/>
              </w:rPr>
              <w:t>删除：床边血糖仪检测加收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23</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310511013</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开髓引流术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val="0"/>
                <w:bCs w:val="0"/>
                <w:i w:val="0"/>
                <w:iCs w:val="0"/>
                <w:color w:val="000000"/>
                <w:kern w:val="0"/>
                <w:sz w:val="20"/>
                <w:szCs w:val="20"/>
                <w:highlight w:val="none"/>
                <w:u w:val="none"/>
                <w:lang w:val="en-US" w:eastAsia="zh-CN" w:bidi="ar"/>
              </w:rPr>
              <w:t>含开髓。</w:t>
            </w:r>
            <w:r>
              <w:rPr>
                <w:rFonts w:hint="default" w:ascii="Times New Roman" w:hAnsi="Times New Roman" w:eastAsia="宋体" w:cs="Times New Roman"/>
                <w:b/>
                <w:bCs/>
                <w:i w:val="0"/>
                <w:iCs w:val="0"/>
                <w:color w:val="000000"/>
                <w:kern w:val="0"/>
                <w:sz w:val="20"/>
                <w:szCs w:val="20"/>
                <w:highlight w:val="none"/>
                <w:u w:val="none"/>
                <w:lang w:val="en-US" w:eastAsia="zh-CN" w:bidi="ar"/>
              </w:rPr>
              <w:t>删除：含麻醉</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每牙</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24</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311000006</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血液透析</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包括碳酸液透析或醋酸液透析</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删除：乙肝、 丙肝、HIV、 梅毒传染病 患者，透析器和管路材料除外 增加：透析器 和管路材料</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25</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MBBZX021</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下肢功能步行反馈训练</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修订内涵：治疗师利用下肢康复器械对不同原因导致的步行功能障碍的患者进行步行反馈训练。</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治疗师 2 名；耗时 30</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分钟</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26</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330604005</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复杂牙拔除术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包括正常位牙齿因解剖变异、死髓或牙体治疗后其脆性增加、局部慢性炎症刺激 使牙槽骨发生致密性改变、牙-骨间骨性结合、与上颌窦关系密切、增龄性变化等所致的拔除困难</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每牙</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bCs/>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增加：牙科微动力系统</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330604005-7</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复杂牙拔除术</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（牙科微动力系统加收）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每牙</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5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27</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330604006</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阻生牙拔除术</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包括低位阻生、完全骨阻生的牙及多生牙</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每牙</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增加：牙科微动力系统加收 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5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330604006-4</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阻生牙拔除术</w:t>
            </w:r>
            <w:r>
              <w:rPr>
                <w:rFonts w:hint="default" w:ascii="Times New Roman" w:hAnsi="Times New Roman" w:eastAsia="宋体" w:cs="Times New Roman"/>
                <w:b w:val="0"/>
                <w:bCs w:val="0"/>
                <w:i w:val="0"/>
                <w:iCs w:val="0"/>
                <w:color w:val="000000"/>
                <w:kern w:val="0"/>
                <w:sz w:val="20"/>
                <w:szCs w:val="20"/>
                <w:u w:val="none"/>
                <w:lang w:val="en-US" w:eastAsia="zh-CN" w:bidi="ar"/>
              </w:rPr>
              <w:br w:type="textWrapping"/>
            </w:r>
            <w:r>
              <w:rPr>
                <w:rFonts w:hint="default" w:ascii="Times New Roman" w:hAnsi="Times New Roman" w:eastAsia="宋体" w:cs="Times New Roman"/>
                <w:b w:val="0"/>
                <w:bCs w:val="0"/>
                <w:i w:val="0"/>
                <w:iCs w:val="0"/>
                <w:color w:val="000000"/>
                <w:kern w:val="0"/>
                <w:sz w:val="20"/>
                <w:szCs w:val="20"/>
                <w:u w:val="none"/>
                <w:lang w:val="en-US" w:eastAsia="zh-CN" w:bidi="ar"/>
              </w:rPr>
              <w:t>（牙科微动力系统加收）</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每牙</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28</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340200003</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日常生活能力评定</w:t>
            </w:r>
          </w:p>
        </w:tc>
        <w:tc>
          <w:tcPr>
            <w:tcW w:w="2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宋体" w:cs="Times New Roman"/>
                <w:b w:val="0"/>
                <w:bCs w:val="0"/>
                <w:i w:val="0"/>
                <w:iCs w:val="0"/>
                <w:color w:val="000000"/>
                <w:kern w:val="0"/>
                <w:sz w:val="20"/>
                <w:szCs w:val="20"/>
                <w:highlight w:val="none"/>
                <w:u w:val="none"/>
                <w:lang w:val="en-US" w:eastAsia="zh-CN" w:bidi="ar"/>
              </w:rPr>
            </w:pPr>
            <w:r>
              <w:rPr>
                <w:rFonts w:hint="default" w:ascii="Times New Roman" w:hAnsi="Times New Roman" w:eastAsia="宋体" w:cs="Times New Roman"/>
                <w:b/>
                <w:bCs/>
                <w:i w:val="0"/>
                <w:iCs w:val="0"/>
                <w:color w:val="000000"/>
                <w:kern w:val="0"/>
                <w:sz w:val="20"/>
                <w:szCs w:val="20"/>
                <w:highlight w:val="none"/>
                <w:u w:val="none"/>
                <w:lang w:val="en-US" w:eastAsia="zh-CN" w:bidi="ar"/>
              </w:rPr>
              <w:t>增加内涵：对患者的个人卫生、进食、更衣、排泄、入浴、器具使用、床上运动、 移动、步行、交流以及自助具的使用等进行评定。人工报告。</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r>
              <w:rPr>
                <w:rFonts w:hint="default" w:ascii="Times New Roman" w:hAnsi="Times New Roman" w:eastAsia="宋体" w:cs="Times New Roman"/>
                <w:b w:val="0"/>
                <w:bCs w:val="0"/>
                <w:i w:val="0"/>
                <w:iCs w:val="0"/>
                <w:color w:val="000000"/>
                <w:kern w:val="0"/>
                <w:sz w:val="20"/>
                <w:szCs w:val="20"/>
                <w:u w:val="none"/>
                <w:lang w:val="en-US" w:eastAsia="zh-CN" w:bidi="ar"/>
              </w:rPr>
              <w:t>次</w:t>
            </w:r>
          </w:p>
        </w:tc>
        <w:tc>
          <w:tcPr>
            <w:tcW w:w="2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val="0"/>
                <w:bCs w:val="0"/>
                <w:i w:val="0"/>
                <w:iCs w:val="0"/>
                <w:color w:val="000000"/>
                <w:kern w:val="0"/>
                <w:sz w:val="20"/>
                <w:szCs w:val="20"/>
                <w:u w:val="none"/>
                <w:lang w:val="en-US" w:eastAsia="zh-CN" w:bidi="ar"/>
              </w:rPr>
            </w:pPr>
          </w:p>
        </w:tc>
      </w:tr>
    </w:tbl>
    <w:p>
      <w:pP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备注：以上修订医疗服务价格项目参照现行各级分类“说明”执行，加粗字为修订内容。</w:t>
      </w:r>
      <w:bookmarkStart w:id="0" w:name="_GoBack"/>
      <w:bookmarkEnd w:id="0"/>
    </w:p>
    <w:sectPr>
      <w:pgSz w:w="16838" w:h="11906" w:orient="landscape"/>
      <w:pgMar w:top="1587" w:right="1440" w:bottom="158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WM5NzVhODRkYWMxMTQ4MzdhMjNmYzA3Yzg0OWEifQ=="/>
  </w:docVars>
  <w:rsids>
    <w:rsidRoot w:val="00172A27"/>
    <w:rsid w:val="0445105C"/>
    <w:rsid w:val="361658AA"/>
    <w:rsid w:val="685A6B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autoRedefine/>
    <w:qFormat/>
    <w:uiPriority w:val="0"/>
    <w:pPr>
      <w:widowControl w:val="0"/>
      <w:spacing w:before="0" w:after="140" w:line="276" w:lineRule="auto"/>
      <w:jc w:val="both"/>
    </w:pPr>
    <w:rPr>
      <w:rFonts w:ascii="Calibri" w:hAnsi="Calibri" w:eastAsia="宋体" w:cs="Times New Roman"/>
      <w:kern w:val="2"/>
      <w:sz w:val="21"/>
      <w:szCs w:val="24"/>
      <w:lang w:val="en-US" w:eastAsia="zh-CN" w:bidi="ar-SA"/>
    </w:rPr>
  </w:style>
  <w:style w:type="paragraph" w:styleId="3">
    <w:name w:val="toc 1"/>
    <w:next w:val="1"/>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沙漠孤舟</cp:lastModifiedBy>
  <dcterms:modified xsi:type="dcterms:W3CDTF">2024-01-26T03:59:55Z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EC4914CFD2324270A3E23D58166B4C82_12</vt:lpwstr>
  </property>
</Properties>
</file>