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四川省停用医疗服务价格项目表</w:t>
      </w:r>
    </w:p>
    <w:bookmarkEnd w:id="0"/>
    <w:tbl>
      <w:tblPr>
        <w:tblStyle w:val="3"/>
        <w:tblW w:w="13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618"/>
        <w:gridCol w:w="3734"/>
        <w:gridCol w:w="1745"/>
        <w:gridCol w:w="1369"/>
        <w:gridCol w:w="2156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410000006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中药熏洗治疗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局部、半身、全身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410000006-1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中药熏洗治疗（局部）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410000006-2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中药熏洗治疗（半身）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410000006-3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中药熏洗治疗（全身）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410000007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中药蒸汽浴治疗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含药物调配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每次30分钟，超过30分钟加收5元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410000007-1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中药蒸汽浴治疗（每次30分钟，超过30分钟加收）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410000009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中药熏药治疗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含药物调配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p/>
    <w:p/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WM5NzVhODRkYWMxMTQ4MzdhMjNmYzA3Yzg0OWEifQ=="/>
  </w:docVars>
  <w:rsids>
    <w:rsidRoot w:val="00172A27"/>
    <w:rsid w:val="0445105C"/>
    <w:rsid w:val="6D166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before="0"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2024-01-26T03:59:07Z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F26B056979D74D9A82517A757D2E01E0_12</vt:lpwstr>
  </property>
</Properties>
</file>