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巴中市2024年第一批新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医疗服务项目价格标准及医保报销类别表</w:t>
      </w:r>
    </w:p>
    <w:tbl>
      <w:tblPr>
        <w:tblStyle w:val="5"/>
        <w:tblpPr w:leftFromText="180" w:rightFromText="180" w:vertAnchor="text" w:horzAnchor="page" w:tblpXSpec="center" w:tblpY="351"/>
        <w:tblOverlap w:val="never"/>
        <w:tblW w:w="14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177"/>
        <w:gridCol w:w="1341"/>
        <w:gridCol w:w="3929"/>
        <w:gridCol w:w="1614"/>
        <w:gridCol w:w="694"/>
        <w:gridCol w:w="1779"/>
        <w:gridCol w:w="628"/>
        <w:gridCol w:w="628"/>
        <w:gridCol w:w="628"/>
        <w:gridCol w:w="628"/>
        <w:gridCol w:w="628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Header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111000004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多学科联合诊疗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由三个及以上多个相关学科的副主任医师（含）以上医务人员组成工作组，针对疑难疾病或危重症患者，量身定制个体化的综合诊疗方案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超过3个学科，每增加1个学科加收25%，加收最多不超过50%。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111000004-1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多学科联合诊疗(每增加1个学科加收)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120400011-2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中心静脉导管拔管术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121500003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人工辅助通便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人工辅助扩肛、排便，观察并记录。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210103035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四肢血管造影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单肢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210200000-1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三维容积重建加收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220301001-10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彩色多普勒超声常规检查（双胎加收）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220302011-3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腔内彩色多普勒超声检查（排卵监测）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220600004-3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心脏彩色多普勒超声（双胎加收）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220600006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术中经食管超声心动图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含术前检查或术后疗效观察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半小时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230200055-1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骨密度测定（单能骨密度测定）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240300017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图像引导的调强放射治疗(IGRT)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调用治疗计划，摆位，对肿瘤、正常组织器官或患者体表轮廓进行定位，图像引导操作及照射，以达到靶区精确放疗和减少正常组织受照的目的。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不与适型调强放射治疗（IMRT）、直线加速器适型治疗同时计费。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240500002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填充模具设计及制作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250102024-1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尿沉渣定量(流式细胞仪法加收)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250103001-1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粪便常规（仪器法加收）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250306011-4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血同型半胱氨酸测定（酶法）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250308006-1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血清脂肪酶测定(比浊法)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250402017-2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抗甲状腺球蛋白抗体测定(TGAb)（化学发光法加收）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250404012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鳞状细胞癌相关抗原测定（SCC）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指各种免疫学方法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化学发光法加收22元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250404012-1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鳞状细胞癌相关抗原测定（SCC）（化学发光法加收）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250501009-1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一般细菌培养及鉴定（质谱法加收）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250501011-2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血培养及鉴定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（质谱法加收）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血培养及鉴定（质谱法加收）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250501012-2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厌氧菌培养及鉴定（质谱法加收）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厌氧菌培养及鉴定（质谱法加收）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250501027-1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真菌培养及鉴定（质谱法加收）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真菌培养及鉴定（质谱法加收）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250700010-3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唐氏综合症筛查（每增加一联加 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270700005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人乳头瘤病毒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（HPV）E6/E7 mRNA 检测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样本采集、签收、处理，检测样本，审核结果，录入实验室信息系统或人工登记，发送报告；按规定处理废弃物；接受临床相关咨询。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适应于感染高危14种HPV病毒阳性下进行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310204007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术中甲状旁腺组织鉴别诊断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t>术中显露甲状旁腺（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t>1-4 个），鉴别甲状旁腺组织，记录鉴别结论。不含手术治疗、不含病理学诊断。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每标本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310208001-1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垂体激素泵持续皮下注射促性腺 激素释放激素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310401050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耳鸣声学干预治疗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通过合理匹配参数，进行调频调幅信号调控处理，制定个性化声学刺激信号，以抑制或减缓耳鸣。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适用于扰人性耳鸣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310702007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永久起搏器安置术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起搏器、心导 管、电极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t>传导系统起搏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t>加收703元，限心室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 w:bidi="ar"/>
              </w:rPr>
              <w:t>起搏比例大于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40%或再同步化治疗左室电极植入失败的患者适用。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310702007-1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永久起搏器安置术（传导系统起搏加收）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310903010-1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经肠镜特殊治疗(微波加收)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310903010-2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经肠镜特殊治疗(激光加收)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310903010-3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经肠镜特殊治疗(电切法加收)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310903015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内镜逆行阑尾炎治疗术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经内镜冲洗阑尾、取出粪石或狭窄扩张、引流减压，治疗阑尾炎。出具图文报告。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310904005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肛直肠肌电测量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310905028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肝脏储备功能测定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摆位，消毒，推注药物，将检查仪与患者连接，监测记录，出具肝脏储备功能定量诊断报告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311000026-2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经输尿管镜碎石取石术（激光法加收）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311000042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家庭腹膜透析治疗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对院外自行进行腹膜透析治疗的患者按照《腹膜透析标准操作规程》（SOP）进行规范的培训、指导、随访，以及患者定期回到医院，由腹透医生或护士对 患者临床状况进行评估（含出口处及隧道评估、导管相关并发症评估、腹膜炎 危险因素评估、生存质量、营养及心理状态评估、透析处方和药物调整、处理患者居家透析常见问题）。每月至少随访 1 次，记录随访、评估及指导情况。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碘伏帽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311000043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功能不良内瘘溶栓术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对于内瘘在使用过程中出现出血不畅， 不能保证足够的血流量供血液净化治 疗，经过一系列检查考虑有血栓形成， 需要用溶栓药物治疗内瘘功能不良。一 般用溶栓药物注射进瘘管，保留一段时 间后观察内瘘通畅程度是否改善。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311400058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窄谱紫外线治疗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含UVA、UVB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全身照射加收37元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311400058-1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窄谱紫外线治疗(全身照射加收)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320200007-3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经皮静脉栓塞术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320500017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冠脉血管内压力导丝测定术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备有除颤仪及除颤电极的条件下，消毒铺巾，局部麻醉，穿刺动脉，放置鞘管，冠状动脉造影后经鞘管在监护仪监护及DSA引导下，沿引导钢丝将指引导管送至冠状动脉开口，根据冠状动脉造影结果决定需要检查的病变，将压力导丝尾端连接处理工作站后将其尖端送至指引导管尖端，以测得的压力进行校准，之后将压力导丝通过病变送至病变血管远端，缓慢回撤，同步记录压力并计算血流储备分数，对数据进行分析。必要时可冠脉内或静脉内注射扩张血管药物，了解冠脉血流储备。含监护、DSA引导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血管鞘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无创冠脉功能血流储备分数测定适用于稳定型冠心病(SCAD)患者的血管功能评估、急性冠脉综合征非罪犯血管功能评估，价格按该标准收取。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330100003-7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椎管内麻醉(分娩镇痛加收)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2小时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椎管内分娩镇痛，2小时内加收352元，超过2小时每增加1小时在椎管内麻醉基础上加收108元，加收总费用不超过1220元，使用一次性麻醉呼吸回路、镇痛泵单独计费。椎管内分娩镇痛不与术后镇痛同时计费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330100003-8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椎管内麻醉(分娩镇痛超过2小时每增加1小时加收)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1小时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椎管内分娩镇痛，2小时内加收352元，超过2小时每增加1小时在椎管内麻醉基础上加收108元，加收总费用不超过1220元，使用一次性麻醉呼吸回路、镇痛泵单独计费。椎管内分娩镇痛不与术后镇痛同时计费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330100019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麻醉风险监测与调控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手术前，由麻醉医师对患者围术期困难气道、心血管不良事件、卒中、谵妄、中重度疼痛、恶心呕吐等不良事件，开展一对一风险监测，并出具监测评定报告和围术期个体化监测、干预、调控措施和方案，以降低不良事件发生率，提升围术期安全性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同次麻醉手术限收一次。需完成不少于6个不良事件。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330202019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经皮三叉神经半月节球囊压迫术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在影像学引导下行半月神经节穿刺，将穿刺鞘管置入半月神经节麦克氏(Meckel's)囊后，放入球囊，注入造影剂，将球囊调整至合适形状，压迫。释放造影剂，拔出球囊及穿刺鞘管。不含影像学引导。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330404008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翼状胬肉切除+角膜移植术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包括角膜肿物切除+角膜移植术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干细胞移植加收74元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330404008-1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翼状胬肉切除+角膜移植术(干细胞移植加收)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330404008-2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翼状胬肉切除＋角膜移植术(角膜肿物切除+角膜移植术)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330604005-7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复杂牙拔除术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（牙科微动力系统加收）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每牙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330604006-4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阻生牙拔除术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（牙科微动力系统加收）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每牙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330607018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颞下颌关节置换术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通过外科手术将假体植入人体颞下颌关节内，恢复颞下颌关节功能。价格涵盖组织切开、假体植入、内固定、关闭缝合术区伤口等手术步骤所耗费的人力资源和基本物质消耗。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骨代用品及特殊材料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单侧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331301000-1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卵巢手术(使用单孔腔镜加收)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331302000-1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输卵管手术(使用单孔腔镜加收)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331303000-1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子宫手术(使用单孔腔镜加收)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331306011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宫腔镜下妊娠残留组织清除术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麻醉，外阴阴道消毒辅巾，放置扩阴器，暴露宫颈，置入宫腔镜，探查妊娠残留组织，明确病灶部位、大小、数量，观察残留组织周围的粘连情况，清除残留妊娠组织，止血。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一次性电切环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主要适用于：1.人工流产术、刮宫术后，存在妊娠残留组织，经传统治疗无效的或异常部位妊娠(如宫角妊娠、瘢痕妊娠、宫颈妊娠等)的；2.分娩后或大月份引产术后宫内妊娠组织有残留的。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331400002-1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单胎顺产接生（瘢痕子宫加收）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331501059-1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经皮椎体成形术(每增加一椎体加收)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每椎体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331523002-1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皮肤牵引术(每日加收)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331523003-1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骨骼牵引术(每日加收)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331523004-1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颅骨牵引术(每日加收)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331601013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乳腺假体取出术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单侧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340200044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肌张力评定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采用肌张力测定仪对患者进行检查，评 估肌肉的张力，出具肌张力报告。价格 涵盖测量点设计、仪器测试、分析、存 储等步骤的人力资源和基本物资消耗。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CEZK1000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胰岛素样生长因子测定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发光底物、探针洗液、探针清洗液、反应杯。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HPB65601-1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经电子内镜结直肠黏膜剥离术(ESD)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HPE77303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经口内镜环状肌切开术（POEM）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胃镜检查，气管插管麻醉，POEM手术费。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1、粘膜下注射药物；2、高频电刀；3、金属夹；4、高频止血钳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</w:tr>
    </w:tbl>
    <w:p>
      <w:pPr>
        <w:pStyle w:val="3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40A8A"/>
    <w:rsid w:val="6C340A8A"/>
    <w:rsid w:val="6C6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font121"/>
    <w:qFormat/>
    <w:uiPriority w:val="0"/>
    <w:rPr>
      <w:rFonts w:hint="eastAsia" w:ascii="CESI宋体-GB2312" w:hAnsi="CESI宋体-GB2312" w:eastAsia="CESI宋体-GB2312" w:cs="CESI宋体-GB2312"/>
      <w:color w:val="000000"/>
      <w:sz w:val="22"/>
      <w:szCs w:val="22"/>
      <w:u w:val="none"/>
    </w:rPr>
  </w:style>
  <w:style w:type="character" w:customStyle="1" w:styleId="8">
    <w:name w:val="font112"/>
    <w:qFormat/>
    <w:uiPriority w:val="0"/>
    <w:rPr>
      <w:rFonts w:hint="eastAsia" w:ascii="CESI宋体-GB2312" w:hAnsi="CESI宋体-GB2312" w:eastAsia="CESI宋体-GB2312" w:cs="CESI宋体-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2024-04-03T02:32:00Z</dcterms:created>
  <dc:creator>玲玲</dc:creator>
  <cp:lastModifiedBy>玲玲</cp:lastModifiedBy>
  <dcterms:modified xsi:type="dcterms:W3CDTF">2024-04-03T02:42:35Z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