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6C929">
      <w:pPr>
        <w:spacing w:line="600" w:lineRule="exact"/>
        <w:jc w:val="both"/>
        <w:rPr>
          <w:rFonts w:hint="default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  <w:t>附件1</w:t>
      </w:r>
    </w:p>
    <w:p w14:paraId="72F5133E">
      <w:pPr>
        <w:spacing w:line="600" w:lineRule="exact"/>
        <w:jc w:val="both"/>
        <w:rPr>
          <w:rFonts w:hint="default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</w:pPr>
    </w:p>
    <w:p w14:paraId="193E42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lang w:val="en-US" w:eastAsia="zh-CN"/>
        </w:rPr>
        <w:t>巴中市家庭医生</w:t>
      </w:r>
      <w:r>
        <w:rPr>
          <w:rFonts w:hint="eastAsia" w:ascii="Times New Roman" w:hAnsi="Times New Roman" w:eastAsia="方正小标宋_GBK" w:cs="Times New Roman"/>
          <w:color w:val="auto"/>
          <w:w w:val="100"/>
          <w:sz w:val="44"/>
          <w:szCs w:val="44"/>
          <w:lang w:val="en-US" w:eastAsia="zh-CN"/>
        </w:rPr>
        <w:t>医保</w:t>
      </w:r>
      <w:r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lang w:val="en-US" w:eastAsia="zh-CN"/>
        </w:rPr>
        <w:t>签约基本服务包清单</w:t>
      </w:r>
    </w:p>
    <w:p w14:paraId="1DEBB815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5"/>
        <w:tblW w:w="952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74"/>
        <w:gridCol w:w="1185"/>
        <w:gridCol w:w="2658"/>
        <w:gridCol w:w="1333"/>
        <w:gridCol w:w="2877"/>
      </w:tblGrid>
      <w:tr w14:paraId="0E57C1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2" w:hRule="atLeast"/>
          <w:tblHeader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EEF1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  <w:t>服务项目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2CF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87DF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  <w:t>服务频次</w:t>
            </w:r>
          </w:p>
          <w:p w14:paraId="3C49E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w w:val="100"/>
                <w:sz w:val="24"/>
                <w:szCs w:val="24"/>
              </w:rPr>
              <w:t>(次/年)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63A1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w w:val="100"/>
                <w:sz w:val="24"/>
                <w:szCs w:val="24"/>
              </w:rPr>
              <w:t>备注</w:t>
            </w:r>
          </w:p>
        </w:tc>
      </w:tr>
      <w:tr w14:paraId="35358F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6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1318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签约注册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8C1574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匹配固定的家庭医生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医保签约服务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团队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A84BD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-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98A0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80DA5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0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209BA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居民健康档案管理服务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6F2AC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建立连续、全面的电子健康信息库，定期更新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DBA9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≥4次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5E52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C86C4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59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86BDF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综合评估健康状况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AEAD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家庭医生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医保签约服务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团队开展体格检查、疾病面对面综合性评估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包含风险等级、并发症、合并症等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6EA8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≥1次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F34B59">
            <w:pPr>
              <w:pStyle w:val="7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  <w:t>按照《诊断学》、《高血压基层诊疗指南》、《国家基层糖尿病防治管理指南》等执行</w:t>
            </w:r>
          </w:p>
        </w:tc>
      </w:tr>
      <w:tr w14:paraId="7C0631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51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752A4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制定执行健康管理计划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D7869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家庭医生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医保签约服务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团队与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沟通健康状况评估结果，共同制定管理目标、治疗方案和随访计划。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sz w:val="24"/>
                <w:szCs w:val="24"/>
              </w:rPr>
              <w:t>科学控制血压、血糖、血脂等关键指标；减少和控制高血压或糖尿病对心、脑、肾等器官损害和急性动脉粥样硬化性心血管病发病风险；通过门诊、微信、APP等提供健康咨询、指导等健康管理。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0DA1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≥4次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EE0C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0EA9E3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0" w:hRule="atLeast"/>
          <w:jc w:val="center"/>
        </w:trPr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FCB40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相关检查检测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2CAA0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高血压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40A0E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血压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293F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次/年或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F1F4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检查检测频次根据病情控制情况动态调整。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病情控制稳定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者≥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次/年，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病情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控制不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稳定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者≥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次/年。</w:t>
            </w:r>
          </w:p>
        </w:tc>
      </w:tr>
      <w:tr w14:paraId="57C1B9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60CF1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8156C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6823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心电图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EC19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≥1次/年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182A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217B95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434C3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99CBA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562C6A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血糖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70BB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964B6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67987B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B148D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53DE12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572D8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肝肾功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A099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5020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52BFD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33ADC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45FF8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4CD65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37A9A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C492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650ACB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8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B15A3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27B6E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糖尿病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6B65C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血糖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9BB7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次/年或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E146A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检查检测频次根据病情控制情况动态调整。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病情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控制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稳定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者≥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次/年，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病情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控制不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稳定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者≥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次/年。</w:t>
            </w:r>
          </w:p>
        </w:tc>
      </w:tr>
      <w:tr w14:paraId="1B510F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2E0D5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C9F89F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AB5C3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血压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AC97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≥4次/年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2CD7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6AA3DF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F7D54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483A8D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34BFB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心电图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9930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≥1次/年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FFA6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1AACF1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457BD33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9E745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06086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肝肾功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9B62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2A46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15BFA1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52341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438AB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28574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糖化血红蛋白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A1185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8AE5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6BEA94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DE301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74D4E8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5C336D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血脂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8A1F2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次/年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C590F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3F67F7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1474" w:type="dxa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19469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  <w:t>药物保障</w:t>
            </w:r>
          </w:p>
        </w:tc>
        <w:tc>
          <w:tcPr>
            <w:tcW w:w="3843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691082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  <w:t>根据患者情况，提供四川省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  <w:t>两病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  <w:t>门诊用药名单范围内的治疗药物保障。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DF1D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  <w:lang w:val="en-US" w:eastAsia="zh-CN"/>
              </w:rPr>
              <w:t>按就医需求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2EEE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highlight w:val="none"/>
              </w:rPr>
            </w:pPr>
          </w:p>
        </w:tc>
      </w:tr>
      <w:tr w14:paraId="34AD41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30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A88F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疾病诊疗服务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B225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签约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定点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医疗机构按要求向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提供疾病诊疗及高血压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糖尿病相关治疗药物、中医药服务（运用中医药方法开展健康管理服务）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94B7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在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两病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门诊用药保障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 w:eastAsia="zh-CN"/>
              </w:rPr>
              <w:t>等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  <w:t>机制内按需服务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8F34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val="en"/>
              </w:rPr>
            </w:pPr>
          </w:p>
        </w:tc>
      </w:tr>
      <w:tr w14:paraId="1B3C06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3" w:hRule="atLeast"/>
          <w:jc w:val="center"/>
        </w:trPr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DB16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提供上级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医疗机构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专科医生协同服务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BD550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协助提供精准的上级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医疗机构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专家转诊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98CC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按就医需求服务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4483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2D4715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7" w:hRule="atLeast"/>
          <w:jc w:val="center"/>
        </w:trPr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FE2E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4C2E6B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sz w:val="24"/>
                <w:szCs w:val="24"/>
              </w:rPr>
              <w:t>协助提供上级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sz w:val="24"/>
                <w:szCs w:val="24"/>
                <w:lang w:eastAsia="zh-CN"/>
              </w:rPr>
              <w:t>医疗机构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sz w:val="24"/>
                <w:szCs w:val="24"/>
              </w:rPr>
              <w:t>住院转诊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146B0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按就医需求服务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3725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 w14:paraId="27A0CD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169E3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签约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定点医疗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机构诊疗服务绿色通道</w:t>
            </w: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323A88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签约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  <w:lang w:eastAsia="zh-CN"/>
              </w:rPr>
              <w:t>定点医疗</w:t>
            </w: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机构提供预约服务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753D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  <w:t>按就医需求服务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1A818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</w:tbl>
    <w:p w14:paraId="1E79BF6C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00" w:lineRule="exact"/>
        <w:ind w:left="840" w:hanging="720" w:hangingChars="300"/>
        <w:jc w:val="both"/>
        <w:textAlignment w:val="auto"/>
        <w:rPr>
          <w:rFonts w:hint="default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</w:pPr>
    </w:p>
    <w:p w14:paraId="0EB45838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00" w:lineRule="exact"/>
        <w:ind w:left="840" w:hanging="720" w:hangingChars="300"/>
        <w:jc w:val="both"/>
        <w:textAlignment w:val="auto"/>
        <w:rPr>
          <w:rFonts w:hint="default" w:ascii="Times New Roman" w:hAnsi="Times New Roman" w:eastAsia="仿宋_GB2312" w:cs="Times New Roman"/>
          <w:color w:val="auto"/>
          <w:w w:val="100"/>
          <w:sz w:val="24"/>
          <w:szCs w:val="24"/>
        </w:rPr>
        <w:sectPr>
          <w:footerReference r:id="rId3" w:type="default"/>
          <w:pgSz w:w="11906" w:h="16838"/>
          <w:pgMar w:top="2098" w:right="1531" w:bottom="1871" w:left="1531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color w:val="auto"/>
          <w:w w:val="100"/>
          <w:sz w:val="24"/>
          <w:szCs w:val="24"/>
          <w:lang w:eastAsia="zh-CN"/>
        </w:rPr>
        <w:t>备注：</w:t>
      </w:r>
      <w:r>
        <w:rPr>
          <w:rFonts w:hint="default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  <w:t>以上项目除</w:t>
      </w:r>
      <w:r>
        <w:rPr>
          <w:rFonts w:hint="eastAsia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  <w:t>相关检查检测</w:t>
      </w:r>
      <w:r>
        <w:rPr>
          <w:rFonts w:hint="eastAsia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w w:val="100"/>
          <w:sz w:val="24"/>
          <w:szCs w:val="24"/>
          <w:lang w:eastAsia="zh-CN"/>
        </w:rPr>
        <w:t>区分高血压、糖尿病外，其余项目高血压、糖尿病均适用。</w:t>
      </w:r>
    </w:p>
    <w:p w14:paraId="2BBB48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03CC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0274841">
                          <w:pPr>
                            <w:pStyle w:val="3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274841">
                    <w:pPr>
                      <w:pStyle w:val="3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67065"/>
    <w:rsid w:val="30E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unhideWhenUsed/>
    <w:qFormat/>
    <w:uiPriority w:val="99"/>
    <w:pPr>
      <w:widowControl w:val="0"/>
      <w:jc w:val="both"/>
    </w:pPr>
    <w:rPr>
      <w:rFonts w:ascii="宋体" w:hAnsi="Courier New" w:eastAsia="宋体" w:cs="宋体"/>
      <w:kern w:val="2"/>
      <w:sz w:val="21"/>
      <w:szCs w:val="24"/>
      <w:lang w:val="en-US" w:eastAsia="zh-CN" w:bidi="ar-SA"/>
    </w:rPr>
  </w:style>
  <w:style w:type="paragraph" w:styleId="3">
    <w:name w:val="footer"/>
    <w:next w:val="4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Title"/>
    <w:next w:val="1"/>
    <w:qFormat/>
    <w:uiPriority w:val="0"/>
    <w:pPr>
      <w:widowControl w:val="0"/>
      <w:spacing w:before="240" w:beforeLines="0" w:after="240" w:afterLines="0" w:line="360" w:lineRule="auto"/>
      <w:jc w:val="center"/>
      <w:outlineLvl w:val="0"/>
    </w:pPr>
    <w:rPr>
      <w:rFonts w:ascii="Arial" w:hAnsi="Arial" w:eastAsia="宋体" w:cs="Times New Roman"/>
      <w:b/>
      <w:kern w:val="2"/>
      <w:sz w:val="32"/>
      <w:szCs w:val="24"/>
      <w:lang w:val="en-US" w:eastAsia="zh-CN" w:bidi="ar-SA"/>
    </w:rPr>
  </w:style>
  <w:style w:type="paragraph" w:customStyle="1" w:styleId="7">
    <w:name w:val="Other|1"/>
    <w:qFormat/>
    <w:uiPriority w:val="0"/>
    <w:pPr>
      <w:widowControl w:val="0"/>
      <w:spacing w:line="319" w:lineRule="exact"/>
      <w:jc w:val="left"/>
    </w:pPr>
    <w:rPr>
      <w:rFonts w:ascii="宋体" w:hAnsi="宋体" w:eastAsia="宋体" w:cs="宋体"/>
      <w:color w:val="000000"/>
      <w:kern w:val="0"/>
      <w:sz w:val="22"/>
      <w:szCs w:val="22"/>
      <w:lang w:val="en-US" w:eastAsia="zh-CN" w:bidi="ar-SA"/>
    </w:rPr>
  </w:style>
  <w:style w:type="paragraph" w:customStyle="1" w:styleId="8">
    <w:name w:val="Heading #1|1"/>
    <w:qFormat/>
    <w:uiPriority w:val="0"/>
    <w:pPr>
      <w:widowControl w:val="0"/>
      <w:spacing w:after="20"/>
      <w:jc w:val="center"/>
      <w:outlineLvl w:val="0"/>
    </w:pPr>
    <w:rPr>
      <w:rFonts w:ascii="宋体" w:hAnsi="宋体" w:eastAsia="宋体" w:cs="宋体"/>
      <w:color w:val="000000"/>
      <w:kern w:val="0"/>
      <w:sz w:val="26"/>
      <w:szCs w:val="2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2025-12-29T09:47:00Z</dcterms:created>
  <dc:creator>北梦木兮</dc:creator>
  <cp:lastModifiedBy>北梦木兮</cp:lastModifiedBy>
  <dcterms:modified xsi:type="dcterms:W3CDTF">2025-12-29T09:49:02Z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393520DD83C247F6A61FDD501A7880D8_11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