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BCD3BB">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both"/>
        <w:textAlignment w:val="auto"/>
        <w:rPr>
          <w:rFonts w:hint="default" w:ascii="Times New Roman" w:hAnsi="Times New Roman" w:eastAsia="方正黑体_GBK" w:cs="Times New Roman"/>
          <w:color w:val="auto"/>
          <w:spacing w:val="0"/>
          <w:sz w:val="32"/>
          <w:szCs w:val="32"/>
          <w:lang w:val="en-US" w:eastAsia="zh-CN"/>
        </w:rPr>
      </w:pPr>
      <w:r>
        <w:rPr>
          <w:rFonts w:hint="default" w:ascii="Times New Roman" w:hAnsi="Times New Roman" w:eastAsia="方正黑体_GBK" w:cs="Times New Roman"/>
          <w:color w:val="auto"/>
          <w:spacing w:val="0"/>
          <w:sz w:val="32"/>
          <w:szCs w:val="32"/>
          <w:lang w:val="en-US" w:eastAsia="zh-CN"/>
        </w:rPr>
        <w:t>附件1</w:t>
      </w:r>
    </w:p>
    <w:p w14:paraId="1F6A2DB7">
      <w:pPr>
        <w:keepNext w:val="0"/>
        <w:keepLines w:val="0"/>
        <w:pageBreakBefore w:val="0"/>
        <w:widowControl w:val="0"/>
        <w:kinsoku/>
        <w:wordWrap/>
        <w:overflowPunct/>
        <w:topLinePunct w:val="0"/>
        <w:autoSpaceDE/>
        <w:autoSpaceDN/>
        <w:bidi w:val="0"/>
        <w:adjustRightInd/>
        <w:snapToGrid/>
        <w:spacing w:line="576" w:lineRule="exact"/>
        <w:ind w:left="0" w:leftChars="0" w:firstLine="0" w:firstLineChars="0"/>
        <w:jc w:val="center"/>
        <w:textAlignment w:val="auto"/>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pPr>
      <w:bookmarkStart w:id="0" w:name="_GoBack"/>
      <w:r>
        <w:rPr>
          <w:rFonts w:hint="eastAsia" w:ascii="方正小标宋简体" w:hAnsi="方正小标宋简体" w:eastAsia="方正小标宋简体" w:cs="方正小标宋简体"/>
          <w:b w:val="0"/>
          <w:bCs w:val="0"/>
          <w:i w:val="0"/>
          <w:iCs w:val="0"/>
          <w:color w:val="auto"/>
          <w:kern w:val="0"/>
          <w:sz w:val="44"/>
          <w:szCs w:val="44"/>
          <w:u w:val="none"/>
          <w:lang w:val="en-US" w:eastAsia="zh-CN" w:bidi="ar"/>
        </w:rPr>
        <w:t>巴中市护理类医疗服务项目公立医疗机构价格及医保支付类别表</w:t>
      </w:r>
      <w:bookmarkEnd w:id="0"/>
    </w:p>
    <w:p w14:paraId="645839A3">
      <w:pPr>
        <w:keepNext w:val="0"/>
        <w:keepLines w:val="0"/>
        <w:pageBreakBefore w:val="0"/>
        <w:widowControl w:val="0"/>
        <w:kinsoku/>
        <w:wordWrap/>
        <w:overflowPunct/>
        <w:topLinePunct w:val="0"/>
        <w:autoSpaceDE/>
        <w:autoSpaceDN/>
        <w:bidi w:val="0"/>
        <w:adjustRightInd/>
        <w:snapToGrid/>
        <w:spacing w:line="200" w:lineRule="exact"/>
        <w:ind w:left="0" w:leftChars="0" w:firstLine="0" w:firstLineChars="0"/>
        <w:jc w:val="center"/>
        <w:textAlignment w:val="auto"/>
        <w:rPr>
          <w:rFonts w:hint="default" w:ascii="方正小标宋简体" w:hAnsi="方正小标宋简体" w:eastAsia="方正小标宋简体" w:cs="方正小标宋简体"/>
          <w:b w:val="0"/>
          <w:bCs w:val="0"/>
          <w:i w:val="0"/>
          <w:iCs w:val="0"/>
          <w:color w:val="auto"/>
          <w:kern w:val="0"/>
          <w:sz w:val="44"/>
          <w:szCs w:val="44"/>
          <w:u w:val="none"/>
          <w:lang w:val="en-US" w:eastAsia="zh-CN" w:bidi="ar"/>
        </w:rPr>
      </w:pPr>
    </w:p>
    <w:tbl>
      <w:tblPr>
        <w:tblStyle w:val="3"/>
        <w:tblW w:w="1486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19"/>
        <w:gridCol w:w="847"/>
        <w:gridCol w:w="902"/>
        <w:gridCol w:w="1883"/>
        <w:gridCol w:w="2549"/>
        <w:gridCol w:w="427"/>
        <w:gridCol w:w="427"/>
        <w:gridCol w:w="516"/>
        <w:gridCol w:w="2170"/>
        <w:gridCol w:w="685"/>
        <w:gridCol w:w="145"/>
        <w:gridCol w:w="540"/>
        <w:gridCol w:w="290"/>
        <w:gridCol w:w="395"/>
        <w:gridCol w:w="435"/>
        <w:gridCol w:w="250"/>
        <w:gridCol w:w="580"/>
        <w:gridCol w:w="836"/>
        <w:gridCol w:w="564"/>
      </w:tblGrid>
      <w:tr w14:paraId="06ECDB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4860" w:type="dxa"/>
            <w:gridSpan w:val="19"/>
            <w:tcBorders>
              <w:tl2br w:val="nil"/>
              <w:tr2bl w:val="nil"/>
            </w:tcBorders>
            <w:vAlign w:val="top"/>
          </w:tcPr>
          <w:p w14:paraId="6E55EDB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top"/>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使用说明：</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医疗服务的政府指导价为最高限价，下浮不限；同时，医疗机构、医务人员实施护理过程中有关创新改良，“服务产出”与现有项目一致，可采取“现有项目兼容”的方式简化处理，直接按照对应的项目执行即可。</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2. “价格构成”指项目价格应涵盖的各类资源消耗，用于确定计价单元的边界，是各级医疗保障部门制定调整项目价格考虑的测算因子，不应作为临床技术标准理解，不是实际操作方式、路径、步骤、程序的强制性要求，价格构成中包含，但个别临床实践中非必要、未发生的，无需强制要求公立医疗机构减计费用。所列“设备投入”包括但不限于操作设备、器具及固定资产投入。</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3. “加收项”指同一项目以不同方式提供或在不同场景应用时，确有必要制定差异化收费标准而细分的一类子项，包括在原项目价格基础上增加或减少收费的情况，具体的加/减收标准(加/减收率或加/减收金额)由各地依权限制定；实际应用中，同时涉及多个加收项的，以项目单价为基础计算相应的加/减收水平后，据实收费。</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4. “扩展项”指同一项目下以不同方式提供或在不同场景应用时，只扩展价格项目适用范围、不额外加价的一类子项，子项的价格按主项目执行。</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5. “基本物质资源消耗”指原则上限于不应或不必要与医疗服务项目分割的易耗品，包括但不限于各类消毒用品、储存用品、清洁用品、个人防护用品、标签、垃圾处理用品、冲洗液、润滑剂、压舌板、滑石粉、治疗巾(单)、棉球、棉签、纱布(垫)、普通绷带、固定带、治疗护理盘(包)、注射器、护(尿)垫、中单、冲洗工具、备皮工具、牙垫等。基本物质资源消耗成本计入项目价格，不另行收费。</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6. “分级护理”含一般传染病护理，纳入价格构成中，不再单独计费。</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7. “分级护理”中的评估。包括但不限于压疮风险评估、跌倒/坠床风险评估、静脉血栓风险评估、日常生活能力评定、疼痛综合评定、营养风险筛查。呛咳风险评估等相关护理评估，已纳入价格构成，不作为临床量表单独立项，不额外计入收费。</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8.对“互联网+护理服务”不单设医疗服务价格项目，按照“上门服务费+护理项目价格”的方式计费。</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9.涉及“包括.…… ”“.……等”的，属于开放型表述，所指对象不仅局限于表述中列明的事项，也包括未列明的同类事项。</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10. “管日”指每日每管，即按照每日实际护理管路数量计费。如一名患者既行尿管护理又行胃肠减压管路护理，可按照“引流管护理”×2的方式计费，并在医嘱中体现的，医疗机构可自行在收费单据中备注，方便患方理解。</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11.除有特殊规定不能同时收取外，专科护理可以与分级护理、专项护理同时收取。</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12.按日收取的各项护理费用按“计入不计出”原则计收，即入院当天计收一次，出院当天不收。</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13. “儿童”指6周岁及以下。周岁的计算方法以法律的相关规定为准。</w:t>
            </w:r>
          </w:p>
        </w:tc>
      </w:tr>
      <w:tr w14:paraId="1B9E0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restart"/>
            <w:tcBorders>
              <w:tl2br w:val="nil"/>
              <w:tr2bl w:val="nil"/>
            </w:tcBorders>
            <w:vAlign w:val="center"/>
          </w:tcPr>
          <w:p w14:paraId="5AAD4C0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序号</w:t>
            </w:r>
          </w:p>
        </w:tc>
        <w:tc>
          <w:tcPr>
            <w:tcW w:w="847" w:type="dxa"/>
            <w:vMerge w:val="restart"/>
            <w:tcBorders>
              <w:tl2br w:val="nil"/>
              <w:tr2bl w:val="nil"/>
            </w:tcBorders>
            <w:vAlign w:val="center"/>
          </w:tcPr>
          <w:p w14:paraId="2D35107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项目编码</w:t>
            </w:r>
          </w:p>
        </w:tc>
        <w:tc>
          <w:tcPr>
            <w:tcW w:w="902" w:type="dxa"/>
            <w:vMerge w:val="restart"/>
            <w:tcBorders>
              <w:tl2br w:val="nil"/>
              <w:tr2bl w:val="nil"/>
            </w:tcBorders>
            <w:vAlign w:val="center"/>
          </w:tcPr>
          <w:p w14:paraId="0E3705C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项目名称</w:t>
            </w:r>
          </w:p>
        </w:tc>
        <w:tc>
          <w:tcPr>
            <w:tcW w:w="1883" w:type="dxa"/>
            <w:vMerge w:val="restart"/>
            <w:tcBorders>
              <w:tl2br w:val="nil"/>
              <w:tr2bl w:val="nil"/>
            </w:tcBorders>
            <w:vAlign w:val="center"/>
          </w:tcPr>
          <w:p w14:paraId="1450D43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服务产出</w:t>
            </w:r>
          </w:p>
        </w:tc>
        <w:tc>
          <w:tcPr>
            <w:tcW w:w="2549" w:type="dxa"/>
            <w:vMerge w:val="restart"/>
            <w:tcBorders>
              <w:tl2br w:val="nil"/>
              <w:tr2bl w:val="nil"/>
            </w:tcBorders>
            <w:vAlign w:val="center"/>
          </w:tcPr>
          <w:p w14:paraId="773C26A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价格构成</w:t>
            </w:r>
          </w:p>
        </w:tc>
        <w:tc>
          <w:tcPr>
            <w:tcW w:w="427" w:type="dxa"/>
            <w:vMerge w:val="restart"/>
            <w:tcBorders>
              <w:tl2br w:val="nil"/>
              <w:tr2bl w:val="nil"/>
            </w:tcBorders>
            <w:vAlign w:val="center"/>
          </w:tcPr>
          <w:p w14:paraId="461E055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加收项</w:t>
            </w:r>
          </w:p>
        </w:tc>
        <w:tc>
          <w:tcPr>
            <w:tcW w:w="427" w:type="dxa"/>
            <w:vMerge w:val="restart"/>
            <w:tcBorders>
              <w:tl2br w:val="nil"/>
              <w:tr2bl w:val="nil"/>
            </w:tcBorders>
            <w:vAlign w:val="center"/>
          </w:tcPr>
          <w:p w14:paraId="4ABCD9F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扩展项</w:t>
            </w:r>
          </w:p>
        </w:tc>
        <w:tc>
          <w:tcPr>
            <w:tcW w:w="516" w:type="dxa"/>
            <w:vMerge w:val="restart"/>
            <w:tcBorders>
              <w:tl2br w:val="nil"/>
              <w:tr2bl w:val="nil"/>
            </w:tcBorders>
            <w:vAlign w:val="center"/>
          </w:tcPr>
          <w:p w14:paraId="62F696B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计价单位</w:t>
            </w:r>
          </w:p>
        </w:tc>
        <w:tc>
          <w:tcPr>
            <w:tcW w:w="2170" w:type="dxa"/>
            <w:vMerge w:val="restart"/>
            <w:tcBorders>
              <w:tl2br w:val="nil"/>
              <w:tr2bl w:val="nil"/>
            </w:tcBorders>
            <w:vAlign w:val="center"/>
          </w:tcPr>
          <w:p w14:paraId="7D180C7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计价说明</w:t>
            </w:r>
          </w:p>
        </w:tc>
        <w:tc>
          <w:tcPr>
            <w:tcW w:w="4156" w:type="dxa"/>
            <w:gridSpan w:val="9"/>
            <w:tcBorders>
              <w:tl2br w:val="nil"/>
              <w:tr2bl w:val="nil"/>
            </w:tcBorders>
            <w:vAlign w:val="center"/>
          </w:tcPr>
          <w:p w14:paraId="30AB8903">
            <w:pPr>
              <w:keepNext w:val="0"/>
              <w:keepLines w:val="0"/>
              <w:pageBreakBefore w:val="0"/>
              <w:widowControl/>
              <w:suppressLineNumbers w:val="0"/>
              <w:kinsoku/>
              <w:wordWrap/>
              <w:overflowPunct/>
              <w:topLinePunct w:val="0"/>
              <w:autoSpaceDE/>
              <w:autoSpaceDN/>
              <w:bidi w:val="0"/>
              <w:adjustRightInd/>
              <w:snapToGrid/>
              <w:spacing w:line="220" w:lineRule="exact"/>
              <w:ind w:firstLine="1870" w:firstLineChars="1100"/>
              <w:jc w:val="both"/>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价格标准</w:t>
            </w:r>
          </w:p>
        </w:tc>
        <w:tc>
          <w:tcPr>
            <w:tcW w:w="564" w:type="dxa"/>
            <w:vMerge w:val="restart"/>
            <w:tcBorders>
              <w:tl2br w:val="nil"/>
              <w:tr2bl w:val="nil"/>
            </w:tcBorders>
            <w:vAlign w:val="center"/>
          </w:tcPr>
          <w:p w14:paraId="20A0E3F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医保支付类别</w:t>
            </w:r>
          </w:p>
        </w:tc>
      </w:tr>
      <w:tr w14:paraId="501C4B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continue"/>
            <w:tcBorders>
              <w:tl2br w:val="nil"/>
              <w:tr2bl w:val="nil"/>
            </w:tcBorders>
            <w:vAlign w:val="center"/>
          </w:tcPr>
          <w:p w14:paraId="50AFFA57">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847" w:type="dxa"/>
            <w:vMerge w:val="continue"/>
            <w:tcBorders>
              <w:tl2br w:val="nil"/>
              <w:tr2bl w:val="nil"/>
            </w:tcBorders>
            <w:vAlign w:val="center"/>
          </w:tcPr>
          <w:p w14:paraId="56AF62A8">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902" w:type="dxa"/>
            <w:vMerge w:val="continue"/>
            <w:tcBorders>
              <w:tl2br w:val="nil"/>
              <w:tr2bl w:val="nil"/>
            </w:tcBorders>
            <w:vAlign w:val="center"/>
          </w:tcPr>
          <w:p w14:paraId="42A8C1AB">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1883" w:type="dxa"/>
            <w:vMerge w:val="continue"/>
            <w:tcBorders>
              <w:tl2br w:val="nil"/>
              <w:tr2bl w:val="nil"/>
            </w:tcBorders>
            <w:vAlign w:val="center"/>
          </w:tcPr>
          <w:p w14:paraId="64DD5D84">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2549" w:type="dxa"/>
            <w:vMerge w:val="continue"/>
            <w:tcBorders>
              <w:tl2br w:val="nil"/>
              <w:tr2bl w:val="nil"/>
            </w:tcBorders>
            <w:vAlign w:val="center"/>
          </w:tcPr>
          <w:p w14:paraId="059F7916">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427" w:type="dxa"/>
            <w:vMerge w:val="continue"/>
            <w:tcBorders>
              <w:tl2br w:val="nil"/>
              <w:tr2bl w:val="nil"/>
            </w:tcBorders>
            <w:vAlign w:val="center"/>
          </w:tcPr>
          <w:p w14:paraId="6A85DCDB">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427" w:type="dxa"/>
            <w:vMerge w:val="continue"/>
            <w:tcBorders>
              <w:tl2br w:val="nil"/>
              <w:tr2bl w:val="nil"/>
            </w:tcBorders>
            <w:vAlign w:val="center"/>
          </w:tcPr>
          <w:p w14:paraId="45FB39BF">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516" w:type="dxa"/>
            <w:vMerge w:val="continue"/>
            <w:tcBorders>
              <w:tl2br w:val="nil"/>
              <w:tr2bl w:val="nil"/>
            </w:tcBorders>
            <w:vAlign w:val="center"/>
          </w:tcPr>
          <w:p w14:paraId="54B8A3DA">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2170" w:type="dxa"/>
            <w:vMerge w:val="continue"/>
            <w:tcBorders>
              <w:tl2br w:val="nil"/>
              <w:tr2bl w:val="nil"/>
            </w:tcBorders>
            <w:vAlign w:val="center"/>
          </w:tcPr>
          <w:p w14:paraId="6BB9A8BB">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c>
          <w:tcPr>
            <w:tcW w:w="685" w:type="dxa"/>
            <w:tcBorders>
              <w:tl2br w:val="nil"/>
              <w:tr2bl w:val="nil"/>
            </w:tcBorders>
            <w:vAlign w:val="center"/>
          </w:tcPr>
          <w:p w14:paraId="59C8617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三甲</w:t>
            </w:r>
          </w:p>
        </w:tc>
        <w:tc>
          <w:tcPr>
            <w:tcW w:w="685" w:type="dxa"/>
            <w:gridSpan w:val="2"/>
            <w:tcBorders>
              <w:tl2br w:val="nil"/>
              <w:tr2bl w:val="nil"/>
            </w:tcBorders>
            <w:vAlign w:val="center"/>
          </w:tcPr>
          <w:p w14:paraId="7088AB7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三乙</w:t>
            </w:r>
          </w:p>
        </w:tc>
        <w:tc>
          <w:tcPr>
            <w:tcW w:w="685" w:type="dxa"/>
            <w:gridSpan w:val="2"/>
            <w:tcBorders>
              <w:tl2br w:val="nil"/>
              <w:tr2bl w:val="nil"/>
            </w:tcBorders>
            <w:vAlign w:val="center"/>
          </w:tcPr>
          <w:p w14:paraId="7B54FD8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二甲</w:t>
            </w:r>
          </w:p>
        </w:tc>
        <w:tc>
          <w:tcPr>
            <w:tcW w:w="685" w:type="dxa"/>
            <w:gridSpan w:val="2"/>
            <w:tcBorders>
              <w:tl2br w:val="nil"/>
              <w:tr2bl w:val="nil"/>
            </w:tcBorders>
            <w:vAlign w:val="center"/>
          </w:tcPr>
          <w:p w14:paraId="4D4017B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二乙</w:t>
            </w:r>
          </w:p>
        </w:tc>
        <w:tc>
          <w:tcPr>
            <w:tcW w:w="1416" w:type="dxa"/>
            <w:gridSpan w:val="2"/>
            <w:tcBorders>
              <w:tl2br w:val="nil"/>
              <w:tr2bl w:val="nil"/>
            </w:tcBorders>
            <w:vAlign w:val="center"/>
          </w:tcPr>
          <w:p w14:paraId="6030372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二乙以下</w:t>
            </w:r>
          </w:p>
        </w:tc>
        <w:tc>
          <w:tcPr>
            <w:tcW w:w="564" w:type="dxa"/>
            <w:vMerge w:val="continue"/>
            <w:tcBorders>
              <w:tl2br w:val="nil"/>
              <w:tr2bl w:val="nil"/>
            </w:tcBorders>
            <w:vAlign w:val="center"/>
          </w:tcPr>
          <w:p w14:paraId="337ECCAC">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r>
      <w:tr w14:paraId="4F0AA8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4296" w:type="dxa"/>
            <w:gridSpan w:val="18"/>
            <w:tcBorders>
              <w:tl2br w:val="nil"/>
              <w:tr2bl w:val="nil"/>
            </w:tcBorders>
            <w:vAlign w:val="center"/>
          </w:tcPr>
          <w:p w14:paraId="5F71E19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方正黑体_GBK" w:hAnsi="方正黑体_GBK" w:eastAsia="方正黑体_GBK" w:cs="方正黑体_GBK"/>
                <w:i w:val="0"/>
                <w:iCs w:val="0"/>
                <w:color w:val="auto"/>
                <w:kern w:val="0"/>
                <w:sz w:val="17"/>
                <w:szCs w:val="17"/>
                <w:u w:val="none"/>
                <w:lang w:val="en-US" w:eastAsia="zh-CN" w:bidi="ar"/>
              </w:rPr>
            </w:pPr>
            <w:r>
              <w:rPr>
                <w:rFonts w:hint="default" w:ascii="方正黑体_GBK" w:hAnsi="方正黑体_GBK" w:eastAsia="方正黑体_GBK" w:cs="方正黑体_GBK"/>
                <w:i w:val="0"/>
                <w:iCs w:val="0"/>
                <w:color w:val="auto"/>
                <w:kern w:val="0"/>
                <w:sz w:val="17"/>
                <w:szCs w:val="17"/>
                <w:u w:val="none"/>
                <w:lang w:val="en-US" w:eastAsia="zh-CN" w:bidi="ar"/>
              </w:rPr>
              <w:t>分级护理</w:t>
            </w:r>
          </w:p>
        </w:tc>
        <w:tc>
          <w:tcPr>
            <w:tcW w:w="564" w:type="dxa"/>
            <w:tcBorders>
              <w:tl2br w:val="nil"/>
              <w:tr2bl w:val="nil"/>
            </w:tcBorders>
            <w:vAlign w:val="center"/>
          </w:tcPr>
          <w:p w14:paraId="79477FA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方正黑体_GBK" w:hAnsi="方正黑体_GBK" w:eastAsia="方正黑体_GBK" w:cs="方正黑体_GBK"/>
                <w:i w:val="0"/>
                <w:iCs w:val="0"/>
                <w:color w:val="auto"/>
                <w:kern w:val="0"/>
                <w:sz w:val="17"/>
                <w:szCs w:val="17"/>
                <w:u w:val="none"/>
                <w:lang w:val="en-US" w:eastAsia="zh-CN" w:bidi="ar"/>
              </w:rPr>
            </w:pPr>
          </w:p>
        </w:tc>
      </w:tr>
      <w:tr w14:paraId="57DF81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590" w:hRule="atLeast"/>
          <w:jc w:val="center"/>
        </w:trPr>
        <w:tc>
          <w:tcPr>
            <w:tcW w:w="419" w:type="dxa"/>
            <w:tcBorders>
              <w:tl2br w:val="nil"/>
              <w:tr2bl w:val="nil"/>
            </w:tcBorders>
            <w:vAlign w:val="center"/>
          </w:tcPr>
          <w:p w14:paraId="1E5D18F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w:t>
            </w:r>
          </w:p>
        </w:tc>
        <w:tc>
          <w:tcPr>
            <w:tcW w:w="847" w:type="dxa"/>
            <w:tcBorders>
              <w:tl2br w:val="nil"/>
              <w:tr2bl w:val="nil"/>
            </w:tcBorders>
            <w:vAlign w:val="center"/>
          </w:tcPr>
          <w:p w14:paraId="3937D0F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011301000010000</w:t>
            </w:r>
          </w:p>
        </w:tc>
        <w:tc>
          <w:tcPr>
            <w:tcW w:w="902" w:type="dxa"/>
            <w:tcBorders>
              <w:tl2br w:val="nil"/>
              <w:tr2bl w:val="nil"/>
            </w:tcBorders>
            <w:vAlign w:val="center"/>
          </w:tcPr>
          <w:p w14:paraId="72BFED3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特级护理</w:t>
            </w:r>
          </w:p>
        </w:tc>
        <w:tc>
          <w:tcPr>
            <w:tcW w:w="1883" w:type="dxa"/>
            <w:tcBorders>
              <w:tl2br w:val="nil"/>
              <w:tr2bl w:val="nil"/>
            </w:tcBorders>
            <w:vAlign w:val="center"/>
          </w:tcPr>
          <w:p w14:paraId="7616ED71">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指为病情危重，随时可能发生病情变化需要进行监护、抢救的患者；各种复杂或大手术后、严重创伤或大面积烧伤的患者提供的相关护理。</w:t>
            </w:r>
          </w:p>
        </w:tc>
        <w:tc>
          <w:tcPr>
            <w:tcW w:w="2549" w:type="dxa"/>
            <w:tcBorders>
              <w:tl2br w:val="nil"/>
              <w:tr2bl w:val="nil"/>
            </w:tcBorders>
            <w:vAlign w:val="center"/>
          </w:tcPr>
          <w:p w14:paraId="1276852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病情及生命体征、制定护理措施、根据医嘱正确实施治疗用药、评估、评定、记出入量、书写护理记录、辅助实施生活护理、口腔护理、皮肤清洁、会阴护理、肛周护理、叩背护理、眼部护理、心理护理、给予患者舒适和功能体位、预防并发症、实施床旁交接班、健康指导等所需的人力资源和基本物质资源消耗。不含其他专项护理。</w:t>
            </w:r>
          </w:p>
        </w:tc>
        <w:tc>
          <w:tcPr>
            <w:tcW w:w="427" w:type="dxa"/>
            <w:tcBorders>
              <w:tl2br w:val="nil"/>
              <w:tr2bl w:val="nil"/>
            </w:tcBorders>
            <w:vAlign w:val="center"/>
          </w:tcPr>
          <w:p w14:paraId="50494C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01儿童加收</w:t>
            </w:r>
          </w:p>
        </w:tc>
        <w:tc>
          <w:tcPr>
            <w:tcW w:w="427" w:type="dxa"/>
            <w:tcBorders>
              <w:tl2br w:val="nil"/>
              <w:tr2bl w:val="nil"/>
            </w:tcBorders>
            <w:vAlign w:val="center"/>
          </w:tcPr>
          <w:p w14:paraId="5E7D8FFF">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59F3D06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663F236D">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2FFF756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109 </w:t>
            </w:r>
          </w:p>
        </w:tc>
        <w:tc>
          <w:tcPr>
            <w:tcW w:w="830" w:type="dxa"/>
            <w:gridSpan w:val="2"/>
            <w:tcBorders>
              <w:tl2br w:val="nil"/>
              <w:tr2bl w:val="nil"/>
            </w:tcBorders>
            <w:vAlign w:val="center"/>
          </w:tcPr>
          <w:p w14:paraId="569D85D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100 </w:t>
            </w:r>
          </w:p>
        </w:tc>
        <w:tc>
          <w:tcPr>
            <w:tcW w:w="830" w:type="dxa"/>
            <w:gridSpan w:val="2"/>
            <w:tcBorders>
              <w:tl2br w:val="nil"/>
              <w:tr2bl w:val="nil"/>
            </w:tcBorders>
            <w:vAlign w:val="center"/>
          </w:tcPr>
          <w:p w14:paraId="6833E1D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91 </w:t>
            </w:r>
          </w:p>
        </w:tc>
        <w:tc>
          <w:tcPr>
            <w:tcW w:w="830" w:type="dxa"/>
            <w:gridSpan w:val="2"/>
            <w:tcBorders>
              <w:tl2br w:val="nil"/>
              <w:tr2bl w:val="nil"/>
            </w:tcBorders>
            <w:vAlign w:val="center"/>
          </w:tcPr>
          <w:p w14:paraId="70DA444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86 </w:t>
            </w:r>
          </w:p>
        </w:tc>
        <w:tc>
          <w:tcPr>
            <w:tcW w:w="836" w:type="dxa"/>
            <w:tcBorders>
              <w:tl2br w:val="nil"/>
              <w:tr2bl w:val="nil"/>
            </w:tcBorders>
            <w:vAlign w:val="center"/>
          </w:tcPr>
          <w:p w14:paraId="51CCD5D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82 </w:t>
            </w:r>
          </w:p>
        </w:tc>
        <w:tc>
          <w:tcPr>
            <w:tcW w:w="564" w:type="dxa"/>
            <w:tcBorders>
              <w:tl2br w:val="nil"/>
              <w:tr2bl w:val="nil"/>
            </w:tcBorders>
            <w:vAlign w:val="center"/>
          </w:tcPr>
          <w:p w14:paraId="402FFDE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57AA8B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261430A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kern w:val="2"/>
                <w:sz w:val="17"/>
                <w:szCs w:val="17"/>
                <w:u w:val="none"/>
                <w:lang w:val="en-US" w:eastAsia="zh-CN" w:bidi="ar-SA"/>
              </w:rPr>
            </w:pPr>
            <w:r>
              <w:rPr>
                <w:rFonts w:hint="default" w:ascii="Times New Roman" w:hAnsi="Times New Roman" w:eastAsia="宋体" w:cs="Times New Roman"/>
                <w:i w:val="0"/>
                <w:iCs w:val="0"/>
                <w:color w:val="auto"/>
                <w:kern w:val="0"/>
                <w:sz w:val="17"/>
                <w:szCs w:val="17"/>
                <w:u w:val="none"/>
                <w:lang w:val="en-US" w:eastAsia="zh-CN" w:bidi="ar"/>
              </w:rPr>
              <w:t>1</w:t>
            </w:r>
          </w:p>
        </w:tc>
        <w:tc>
          <w:tcPr>
            <w:tcW w:w="847" w:type="dxa"/>
            <w:tcBorders>
              <w:tl2br w:val="nil"/>
              <w:tr2bl w:val="nil"/>
            </w:tcBorders>
            <w:vAlign w:val="center"/>
          </w:tcPr>
          <w:p w14:paraId="6AFECFE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011301000010001</w:t>
            </w:r>
          </w:p>
        </w:tc>
        <w:tc>
          <w:tcPr>
            <w:tcW w:w="902" w:type="dxa"/>
            <w:tcBorders>
              <w:tl2br w:val="nil"/>
              <w:tr2bl w:val="nil"/>
            </w:tcBorders>
            <w:vAlign w:val="center"/>
          </w:tcPr>
          <w:p w14:paraId="7A62387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特级护理-儿童（加收）</w:t>
            </w:r>
          </w:p>
        </w:tc>
        <w:tc>
          <w:tcPr>
            <w:tcW w:w="1883" w:type="dxa"/>
            <w:tcBorders>
              <w:tl2br w:val="nil"/>
              <w:tr2bl w:val="nil"/>
            </w:tcBorders>
            <w:vAlign w:val="center"/>
          </w:tcPr>
          <w:p w14:paraId="11630895">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指为病情危重，随时可能发生病情变化需要进行监护、抢救的患者；各种复杂或大手术后、严重创伤或大面积烧伤的患者提供的相关护理。</w:t>
            </w:r>
          </w:p>
        </w:tc>
        <w:tc>
          <w:tcPr>
            <w:tcW w:w="2549" w:type="dxa"/>
            <w:tcBorders>
              <w:tl2br w:val="nil"/>
              <w:tr2bl w:val="nil"/>
            </w:tcBorders>
            <w:vAlign w:val="center"/>
          </w:tcPr>
          <w:p w14:paraId="0B77EF8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病情及生命体征、制定护理措施、根据医嘱正确实施治疗用药、评估、评定、记出入量、书写护理记录、辅助实施生活护理、口腔护理、皮肤清洁、会阴护理、肛周护理、叩背护理、眼部护理、心理护理、给予患者舒适和功能体位、预防并发症、实施床旁交接班、健康指导等所需的人力资源和基本物质资源消耗。不含其他专项护理。</w:t>
            </w:r>
          </w:p>
        </w:tc>
        <w:tc>
          <w:tcPr>
            <w:tcW w:w="427" w:type="dxa"/>
            <w:tcBorders>
              <w:tl2br w:val="nil"/>
              <w:tr2bl w:val="nil"/>
            </w:tcBorders>
            <w:vAlign w:val="center"/>
          </w:tcPr>
          <w:p w14:paraId="1AF66C80">
            <w:pPr>
              <w:keepNext w:val="0"/>
              <w:keepLines w:val="0"/>
              <w:pageBreakBefore w:val="0"/>
              <w:widowControl/>
              <w:kinsoku/>
              <w:wordWrap/>
              <w:overflowPunct/>
              <w:topLinePunct w:val="0"/>
              <w:autoSpaceDE/>
              <w:autoSpaceDN/>
              <w:bidi w:val="0"/>
              <w:adjustRightInd/>
              <w:snapToGrid/>
              <w:spacing w:line="220" w:lineRule="exac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3E1F5616">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01CA4D2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056B3198">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07953A7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28F0467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74CA1AA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052E0AC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6" w:type="dxa"/>
            <w:tcBorders>
              <w:tl2br w:val="nil"/>
              <w:tr2bl w:val="nil"/>
            </w:tcBorders>
            <w:vAlign w:val="center"/>
          </w:tcPr>
          <w:p w14:paraId="198179A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564" w:type="dxa"/>
            <w:tcBorders>
              <w:tl2br w:val="nil"/>
              <w:tr2bl w:val="nil"/>
            </w:tcBorders>
            <w:vAlign w:val="center"/>
          </w:tcPr>
          <w:p w14:paraId="74219E3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0BB123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restart"/>
            <w:tcBorders>
              <w:tl2br w:val="nil"/>
              <w:tr2bl w:val="nil"/>
            </w:tcBorders>
            <w:vAlign w:val="center"/>
          </w:tcPr>
          <w:p w14:paraId="22BD57D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w:t>
            </w:r>
          </w:p>
        </w:tc>
        <w:tc>
          <w:tcPr>
            <w:tcW w:w="847" w:type="dxa"/>
            <w:tcBorders>
              <w:tl2br w:val="nil"/>
              <w:tr2bl w:val="nil"/>
            </w:tcBorders>
            <w:vAlign w:val="center"/>
          </w:tcPr>
          <w:p w14:paraId="56FD40F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011301000020000</w:t>
            </w:r>
          </w:p>
        </w:tc>
        <w:tc>
          <w:tcPr>
            <w:tcW w:w="902" w:type="dxa"/>
            <w:tcBorders>
              <w:tl2br w:val="nil"/>
              <w:tr2bl w:val="nil"/>
            </w:tcBorders>
            <w:vAlign w:val="center"/>
          </w:tcPr>
          <w:p w14:paraId="69C76DF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Ⅰ级护理</w:t>
            </w:r>
          </w:p>
        </w:tc>
        <w:tc>
          <w:tcPr>
            <w:tcW w:w="1883" w:type="dxa"/>
            <w:tcBorders>
              <w:tl2br w:val="nil"/>
              <w:tr2bl w:val="nil"/>
            </w:tcBorders>
            <w:vAlign w:val="center"/>
          </w:tcPr>
          <w:p w14:paraId="151A801C">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指为病情趋向稳定的重症患者；病情不稳定或随时可能发生变化的患者；手术后或者治疗期间需要严格卧床的患者；自理能力重度依赖的患者的患者提供的相关护理。</w:t>
            </w:r>
          </w:p>
        </w:tc>
        <w:tc>
          <w:tcPr>
            <w:tcW w:w="2549" w:type="dxa"/>
            <w:tcBorders>
              <w:tl2br w:val="nil"/>
              <w:tr2bl w:val="nil"/>
            </w:tcBorders>
            <w:vAlign w:val="center"/>
          </w:tcPr>
          <w:p w14:paraId="162116F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病情及生命体征、制定护理措施、根据医嘱正确实施治疗用药、评估、评定、记出入量、书写护理记录、辅助实施生活护理、口腔护理、皮肤清洁、会阴护理、肛周护理、叩背护理、眼部护理、心理护理、给予患者舒适和功能体位、预防并发症、实施床旁交接班、健康指导等所需的人力资源和基本物质资源消耗。不含其他专项护理。</w:t>
            </w:r>
          </w:p>
        </w:tc>
        <w:tc>
          <w:tcPr>
            <w:tcW w:w="427" w:type="dxa"/>
            <w:tcBorders>
              <w:tl2br w:val="nil"/>
              <w:tr2bl w:val="nil"/>
            </w:tcBorders>
            <w:vAlign w:val="center"/>
          </w:tcPr>
          <w:p w14:paraId="226AF24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01儿童加收</w:t>
            </w:r>
          </w:p>
        </w:tc>
        <w:tc>
          <w:tcPr>
            <w:tcW w:w="427" w:type="dxa"/>
            <w:tcBorders>
              <w:tl2br w:val="nil"/>
              <w:tr2bl w:val="nil"/>
            </w:tcBorders>
            <w:vAlign w:val="center"/>
          </w:tcPr>
          <w:p w14:paraId="21A83678">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70D1902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5F0C0FA5">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6B18330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47 </w:t>
            </w:r>
          </w:p>
        </w:tc>
        <w:tc>
          <w:tcPr>
            <w:tcW w:w="830" w:type="dxa"/>
            <w:gridSpan w:val="2"/>
            <w:tcBorders>
              <w:tl2br w:val="nil"/>
              <w:tr2bl w:val="nil"/>
            </w:tcBorders>
            <w:vAlign w:val="center"/>
          </w:tcPr>
          <w:p w14:paraId="39528C1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43 </w:t>
            </w:r>
          </w:p>
        </w:tc>
        <w:tc>
          <w:tcPr>
            <w:tcW w:w="830" w:type="dxa"/>
            <w:gridSpan w:val="2"/>
            <w:tcBorders>
              <w:tl2br w:val="nil"/>
              <w:tr2bl w:val="nil"/>
            </w:tcBorders>
            <w:vAlign w:val="center"/>
          </w:tcPr>
          <w:p w14:paraId="376EDBD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39 </w:t>
            </w:r>
          </w:p>
        </w:tc>
        <w:tc>
          <w:tcPr>
            <w:tcW w:w="830" w:type="dxa"/>
            <w:gridSpan w:val="2"/>
            <w:tcBorders>
              <w:tl2br w:val="nil"/>
              <w:tr2bl w:val="nil"/>
            </w:tcBorders>
            <w:vAlign w:val="center"/>
          </w:tcPr>
          <w:p w14:paraId="1EB46FB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37 </w:t>
            </w:r>
          </w:p>
        </w:tc>
        <w:tc>
          <w:tcPr>
            <w:tcW w:w="836" w:type="dxa"/>
            <w:tcBorders>
              <w:tl2br w:val="nil"/>
              <w:tr2bl w:val="nil"/>
            </w:tcBorders>
            <w:vAlign w:val="center"/>
          </w:tcPr>
          <w:p w14:paraId="56BDAD0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35</w:t>
            </w:r>
          </w:p>
        </w:tc>
        <w:tc>
          <w:tcPr>
            <w:tcW w:w="564" w:type="dxa"/>
            <w:tcBorders>
              <w:tl2br w:val="nil"/>
              <w:tr2bl w:val="nil"/>
            </w:tcBorders>
            <w:vAlign w:val="center"/>
          </w:tcPr>
          <w:p w14:paraId="5DA19BE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29C8F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continue"/>
            <w:tcBorders>
              <w:tl2br w:val="nil"/>
              <w:tr2bl w:val="nil"/>
            </w:tcBorders>
            <w:vAlign w:val="center"/>
          </w:tcPr>
          <w:p w14:paraId="2BE3F66D">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847" w:type="dxa"/>
            <w:tcBorders>
              <w:tl2br w:val="nil"/>
              <w:tr2bl w:val="nil"/>
            </w:tcBorders>
            <w:vAlign w:val="center"/>
          </w:tcPr>
          <w:p w14:paraId="62B6C20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011301000020001</w:t>
            </w:r>
          </w:p>
        </w:tc>
        <w:tc>
          <w:tcPr>
            <w:tcW w:w="902" w:type="dxa"/>
            <w:tcBorders>
              <w:tl2br w:val="nil"/>
              <w:tr2bl w:val="nil"/>
            </w:tcBorders>
            <w:vAlign w:val="center"/>
          </w:tcPr>
          <w:p w14:paraId="3CF344A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Ⅰ级护理-儿童（加收）</w:t>
            </w:r>
          </w:p>
        </w:tc>
        <w:tc>
          <w:tcPr>
            <w:tcW w:w="1883" w:type="dxa"/>
            <w:tcBorders>
              <w:tl2br w:val="nil"/>
              <w:tr2bl w:val="nil"/>
            </w:tcBorders>
            <w:vAlign w:val="center"/>
          </w:tcPr>
          <w:p w14:paraId="1D1DA98D">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指为病情趋向稳定的重症患者；病情不稳定或随时可能发生变化的患者；手术后或者治疗期间需要严格卧床的患者；自理能力重度依赖的患者的患者提供的相关护理。</w:t>
            </w:r>
          </w:p>
        </w:tc>
        <w:tc>
          <w:tcPr>
            <w:tcW w:w="2549" w:type="dxa"/>
            <w:tcBorders>
              <w:tl2br w:val="nil"/>
              <w:tr2bl w:val="nil"/>
            </w:tcBorders>
            <w:vAlign w:val="center"/>
          </w:tcPr>
          <w:p w14:paraId="6F970D6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病情及生命体征、制定护理措施、根据医嘱正确实施治疗用药、评估、评定、记出入量、书写护理记录、辅助实施生活护理、口腔护理、皮肤清洁、会阴护理、肛周护理、叩背护理、眼部护理、心理护理、给予患者舒适和功能体位、预防并发症、实施床旁交接班、健康指导等所需的人力资源和基本物质资源消耗。不含其他专项护理。</w:t>
            </w:r>
          </w:p>
        </w:tc>
        <w:tc>
          <w:tcPr>
            <w:tcW w:w="427" w:type="dxa"/>
            <w:tcBorders>
              <w:tl2br w:val="nil"/>
              <w:tr2bl w:val="nil"/>
            </w:tcBorders>
            <w:vAlign w:val="center"/>
          </w:tcPr>
          <w:p w14:paraId="5430BF9A">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31CEAE94">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6BF067A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1849EF8F">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4CA232C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6FA2482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3FFEE80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6E1E7C1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6" w:type="dxa"/>
            <w:tcBorders>
              <w:tl2br w:val="nil"/>
              <w:tr2bl w:val="nil"/>
            </w:tcBorders>
            <w:vAlign w:val="center"/>
          </w:tcPr>
          <w:p w14:paraId="03221DC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564" w:type="dxa"/>
            <w:tcBorders>
              <w:tl2br w:val="nil"/>
              <w:tr2bl w:val="nil"/>
            </w:tcBorders>
            <w:vAlign w:val="center"/>
          </w:tcPr>
          <w:p w14:paraId="0A4D062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531108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20DD64E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3</w:t>
            </w:r>
          </w:p>
        </w:tc>
        <w:tc>
          <w:tcPr>
            <w:tcW w:w="847" w:type="dxa"/>
            <w:tcBorders>
              <w:tl2br w:val="nil"/>
              <w:tr2bl w:val="nil"/>
            </w:tcBorders>
            <w:vAlign w:val="center"/>
          </w:tcPr>
          <w:p w14:paraId="7FEFD2D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011301000030000</w:t>
            </w:r>
          </w:p>
        </w:tc>
        <w:tc>
          <w:tcPr>
            <w:tcW w:w="902" w:type="dxa"/>
            <w:tcBorders>
              <w:tl2br w:val="nil"/>
              <w:tr2bl w:val="nil"/>
            </w:tcBorders>
            <w:vAlign w:val="center"/>
          </w:tcPr>
          <w:p w14:paraId="7F45D243">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Ⅱ级护理</w:t>
            </w:r>
          </w:p>
        </w:tc>
        <w:tc>
          <w:tcPr>
            <w:tcW w:w="1883" w:type="dxa"/>
            <w:tcBorders>
              <w:tl2br w:val="nil"/>
              <w:tr2bl w:val="nil"/>
            </w:tcBorders>
            <w:vAlign w:val="center"/>
          </w:tcPr>
          <w:p w14:paraId="7E037725">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指病情趋于稳定或未明确诊断前，仍需观察，且自理能力轻度依赖的患者；病情稳定，仍需卧床，且自理能力轻度依赖的患者；病情稳定或处于康复期，且自理能力中度依赖的患者提供的相关护理。</w:t>
            </w:r>
          </w:p>
        </w:tc>
        <w:tc>
          <w:tcPr>
            <w:tcW w:w="2549" w:type="dxa"/>
            <w:tcBorders>
              <w:tl2br w:val="nil"/>
              <w:tr2bl w:val="nil"/>
            </w:tcBorders>
            <w:vAlign w:val="center"/>
          </w:tcPr>
          <w:p w14:paraId="506B0FD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所定价格涵盖观察病情及生命体征、根据医嘱正确实施治疗用药、评估、评定、辅助实施生活护理、书写护理记录，皮肤清洁、心理护理、健康指导等所需的人力资源和基本物质资源消耗。不含专项护理。</w:t>
            </w:r>
          </w:p>
        </w:tc>
        <w:tc>
          <w:tcPr>
            <w:tcW w:w="427" w:type="dxa"/>
            <w:tcBorders>
              <w:tl2br w:val="nil"/>
              <w:tr2bl w:val="nil"/>
            </w:tcBorders>
            <w:vAlign w:val="center"/>
          </w:tcPr>
          <w:p w14:paraId="1D128E37">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7271B1DD">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1A455C3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3DFF5A51">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7274498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21 </w:t>
            </w:r>
          </w:p>
        </w:tc>
        <w:tc>
          <w:tcPr>
            <w:tcW w:w="830" w:type="dxa"/>
            <w:gridSpan w:val="2"/>
            <w:tcBorders>
              <w:tl2br w:val="nil"/>
              <w:tr2bl w:val="nil"/>
            </w:tcBorders>
            <w:vAlign w:val="center"/>
          </w:tcPr>
          <w:p w14:paraId="1386F81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18 </w:t>
            </w:r>
          </w:p>
        </w:tc>
        <w:tc>
          <w:tcPr>
            <w:tcW w:w="830" w:type="dxa"/>
            <w:gridSpan w:val="2"/>
            <w:tcBorders>
              <w:tl2br w:val="nil"/>
              <w:tr2bl w:val="nil"/>
            </w:tcBorders>
            <w:vAlign w:val="center"/>
          </w:tcPr>
          <w:p w14:paraId="28D08C1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17 </w:t>
            </w:r>
          </w:p>
        </w:tc>
        <w:tc>
          <w:tcPr>
            <w:tcW w:w="830" w:type="dxa"/>
            <w:gridSpan w:val="2"/>
            <w:tcBorders>
              <w:tl2br w:val="nil"/>
              <w:tr2bl w:val="nil"/>
            </w:tcBorders>
            <w:vAlign w:val="center"/>
          </w:tcPr>
          <w:p w14:paraId="555F9F6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16 </w:t>
            </w:r>
          </w:p>
        </w:tc>
        <w:tc>
          <w:tcPr>
            <w:tcW w:w="836" w:type="dxa"/>
            <w:tcBorders>
              <w:tl2br w:val="nil"/>
              <w:tr2bl w:val="nil"/>
            </w:tcBorders>
            <w:vAlign w:val="center"/>
          </w:tcPr>
          <w:p w14:paraId="587C192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14 </w:t>
            </w:r>
          </w:p>
        </w:tc>
        <w:tc>
          <w:tcPr>
            <w:tcW w:w="564" w:type="dxa"/>
            <w:tcBorders>
              <w:tl2br w:val="nil"/>
              <w:tr2bl w:val="nil"/>
            </w:tcBorders>
            <w:vAlign w:val="center"/>
          </w:tcPr>
          <w:p w14:paraId="702F100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518407B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1B3552A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4</w:t>
            </w:r>
          </w:p>
        </w:tc>
        <w:tc>
          <w:tcPr>
            <w:tcW w:w="847" w:type="dxa"/>
            <w:tcBorders>
              <w:tl2br w:val="nil"/>
              <w:tr2bl w:val="nil"/>
            </w:tcBorders>
            <w:vAlign w:val="center"/>
          </w:tcPr>
          <w:p w14:paraId="79922A3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011301000040000</w:t>
            </w:r>
          </w:p>
        </w:tc>
        <w:tc>
          <w:tcPr>
            <w:tcW w:w="902" w:type="dxa"/>
            <w:tcBorders>
              <w:tl2br w:val="nil"/>
              <w:tr2bl w:val="nil"/>
            </w:tcBorders>
            <w:vAlign w:val="center"/>
          </w:tcPr>
          <w:p w14:paraId="2E223537">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Ⅲ级护理</w:t>
            </w:r>
          </w:p>
        </w:tc>
        <w:tc>
          <w:tcPr>
            <w:tcW w:w="1883" w:type="dxa"/>
            <w:tcBorders>
              <w:tl2br w:val="nil"/>
              <w:tr2bl w:val="nil"/>
            </w:tcBorders>
            <w:vAlign w:val="center"/>
          </w:tcPr>
          <w:p w14:paraId="295FCB29">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指病情稳定或处于康复期，且自理能力轻度依赖或无依赖的患者提供的相关护理。</w:t>
            </w:r>
          </w:p>
        </w:tc>
        <w:tc>
          <w:tcPr>
            <w:tcW w:w="2549" w:type="dxa"/>
            <w:tcBorders>
              <w:tl2br w:val="nil"/>
              <w:tr2bl w:val="nil"/>
            </w:tcBorders>
            <w:vAlign w:val="center"/>
          </w:tcPr>
          <w:p w14:paraId="2D93D72A">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所定价格涵盖观察病情及生命体征、根据医嘱正确实施治疗用药、评估、评定、书写护理记录、心理护理、健康指导等所需的人力资源和基本物质资源消耗。不含专项护理。</w:t>
            </w:r>
          </w:p>
        </w:tc>
        <w:tc>
          <w:tcPr>
            <w:tcW w:w="427" w:type="dxa"/>
            <w:tcBorders>
              <w:tl2br w:val="nil"/>
              <w:tr2bl w:val="nil"/>
            </w:tcBorders>
            <w:vAlign w:val="center"/>
          </w:tcPr>
          <w:p w14:paraId="020D85D9">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487EE817">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519A676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0D24585B">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7E4FDE0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7 </w:t>
            </w:r>
          </w:p>
        </w:tc>
        <w:tc>
          <w:tcPr>
            <w:tcW w:w="830" w:type="dxa"/>
            <w:gridSpan w:val="2"/>
            <w:tcBorders>
              <w:tl2br w:val="nil"/>
              <w:tr2bl w:val="nil"/>
            </w:tcBorders>
            <w:vAlign w:val="center"/>
          </w:tcPr>
          <w:p w14:paraId="7AC109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0" w:type="dxa"/>
            <w:gridSpan w:val="2"/>
            <w:tcBorders>
              <w:tl2br w:val="nil"/>
              <w:tr2bl w:val="nil"/>
            </w:tcBorders>
            <w:vAlign w:val="center"/>
          </w:tcPr>
          <w:p w14:paraId="6E9FE2A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0" w:type="dxa"/>
            <w:gridSpan w:val="2"/>
            <w:tcBorders>
              <w:tl2br w:val="nil"/>
              <w:tr2bl w:val="nil"/>
            </w:tcBorders>
            <w:vAlign w:val="center"/>
          </w:tcPr>
          <w:p w14:paraId="3EA6765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5 </w:t>
            </w:r>
          </w:p>
        </w:tc>
        <w:tc>
          <w:tcPr>
            <w:tcW w:w="836" w:type="dxa"/>
            <w:tcBorders>
              <w:tl2br w:val="nil"/>
              <w:tr2bl w:val="nil"/>
            </w:tcBorders>
            <w:vAlign w:val="center"/>
          </w:tcPr>
          <w:p w14:paraId="67EC19F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4.25</w:t>
            </w:r>
          </w:p>
        </w:tc>
        <w:tc>
          <w:tcPr>
            <w:tcW w:w="564" w:type="dxa"/>
            <w:tcBorders>
              <w:tl2br w:val="nil"/>
              <w:tr2bl w:val="nil"/>
            </w:tcBorders>
            <w:vAlign w:val="center"/>
          </w:tcPr>
          <w:p w14:paraId="52F8302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78209C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4296" w:type="dxa"/>
            <w:gridSpan w:val="18"/>
            <w:tcBorders>
              <w:tl2br w:val="nil"/>
              <w:tr2bl w:val="nil"/>
            </w:tcBorders>
            <w:vAlign w:val="center"/>
          </w:tcPr>
          <w:p w14:paraId="05AC91A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eastAsia" w:ascii="方正黑体_GBK" w:hAnsi="方正黑体_GBK" w:eastAsia="方正黑体_GBK" w:cs="方正黑体_GBK"/>
                <w:i w:val="0"/>
                <w:iCs w:val="0"/>
                <w:color w:val="auto"/>
                <w:sz w:val="17"/>
                <w:szCs w:val="17"/>
                <w:u w:val="none"/>
              </w:rPr>
            </w:pPr>
            <w:r>
              <w:rPr>
                <w:rFonts w:hint="eastAsia" w:ascii="方正黑体_GBK" w:hAnsi="方正黑体_GBK" w:eastAsia="方正黑体_GBK" w:cs="方正黑体_GBK"/>
                <w:i w:val="0"/>
                <w:iCs w:val="0"/>
                <w:color w:val="auto"/>
                <w:kern w:val="0"/>
                <w:sz w:val="17"/>
                <w:szCs w:val="17"/>
                <w:u w:val="none"/>
                <w:lang w:val="en-US" w:eastAsia="zh-CN" w:bidi="ar"/>
              </w:rPr>
              <w:t>专科护理</w:t>
            </w:r>
          </w:p>
        </w:tc>
        <w:tc>
          <w:tcPr>
            <w:tcW w:w="564" w:type="dxa"/>
            <w:tcBorders>
              <w:tl2br w:val="nil"/>
              <w:tr2bl w:val="nil"/>
            </w:tcBorders>
            <w:vAlign w:val="center"/>
          </w:tcPr>
          <w:p w14:paraId="71096387">
            <w:pPr>
              <w:keepNext w:val="0"/>
              <w:keepLines w:val="0"/>
              <w:pageBreakBefore w:val="0"/>
              <w:widowControl/>
              <w:kinsoku/>
              <w:wordWrap/>
              <w:overflowPunct/>
              <w:topLinePunct w:val="0"/>
              <w:autoSpaceDE/>
              <w:autoSpaceDN/>
              <w:bidi w:val="0"/>
              <w:adjustRightInd/>
              <w:snapToGrid/>
              <w:spacing w:line="220" w:lineRule="exact"/>
              <w:jc w:val="center"/>
              <w:rPr>
                <w:rFonts w:hint="eastAsia" w:ascii="方正黑体_GBK" w:hAnsi="方正黑体_GBK" w:eastAsia="方正黑体_GBK" w:cs="方正黑体_GBK"/>
                <w:i w:val="0"/>
                <w:iCs w:val="0"/>
                <w:color w:val="auto"/>
                <w:sz w:val="17"/>
                <w:szCs w:val="17"/>
                <w:u w:val="none"/>
              </w:rPr>
            </w:pPr>
          </w:p>
        </w:tc>
      </w:tr>
      <w:tr w14:paraId="0EFC7DC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05E9F36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5</w:t>
            </w:r>
          </w:p>
        </w:tc>
        <w:tc>
          <w:tcPr>
            <w:tcW w:w="847" w:type="dxa"/>
            <w:tcBorders>
              <w:tl2br w:val="nil"/>
              <w:tr2bl w:val="nil"/>
            </w:tcBorders>
            <w:vAlign w:val="center"/>
          </w:tcPr>
          <w:p w14:paraId="47BB68C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011302000010000</w:t>
            </w:r>
          </w:p>
        </w:tc>
        <w:tc>
          <w:tcPr>
            <w:tcW w:w="902" w:type="dxa"/>
            <w:tcBorders>
              <w:tl2br w:val="nil"/>
              <w:tr2bl w:val="nil"/>
            </w:tcBorders>
            <w:vAlign w:val="center"/>
          </w:tcPr>
          <w:p w14:paraId="642B873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急诊留观护理</w:t>
            </w:r>
          </w:p>
        </w:tc>
        <w:tc>
          <w:tcPr>
            <w:tcW w:w="1883" w:type="dxa"/>
            <w:tcBorders>
              <w:tl2br w:val="nil"/>
              <w:tr2bl w:val="nil"/>
            </w:tcBorders>
            <w:vAlign w:val="center"/>
          </w:tcPr>
          <w:p w14:paraId="11E7C1DC">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指为需留在急诊进行观察的患者提供的相关护理。</w:t>
            </w:r>
          </w:p>
        </w:tc>
        <w:tc>
          <w:tcPr>
            <w:tcW w:w="2549" w:type="dxa"/>
            <w:tcBorders>
              <w:tl2br w:val="nil"/>
              <w:tr2bl w:val="nil"/>
            </w:tcBorders>
            <w:vAlign w:val="center"/>
          </w:tcPr>
          <w:p w14:paraId="257EB4CD">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病情及生命体征、制定护理措施、根据医嘱正确实施治疗用药、评估、评定、书写护理记录、辅助实施生活护理、口腔护理、皮肤清洁、会阴护理、肛周护理、叩背护理、眼部护理、心理护理、预防并发症、实施床旁交接班、健康指导等所需的人力资源和基本物质资源消耗。不含其他专项护理。</w:t>
            </w:r>
          </w:p>
        </w:tc>
        <w:tc>
          <w:tcPr>
            <w:tcW w:w="427" w:type="dxa"/>
            <w:tcBorders>
              <w:tl2br w:val="nil"/>
              <w:tr2bl w:val="nil"/>
            </w:tcBorders>
            <w:vAlign w:val="center"/>
          </w:tcPr>
          <w:p w14:paraId="6BD5ED23">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5DDB79CF">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1C9D6AB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1A4511F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当天转住院的，急诊留观与分级护理费用不得同时收取。</w:t>
            </w:r>
          </w:p>
        </w:tc>
        <w:tc>
          <w:tcPr>
            <w:tcW w:w="830" w:type="dxa"/>
            <w:gridSpan w:val="2"/>
            <w:tcBorders>
              <w:tl2br w:val="nil"/>
              <w:tr2bl w:val="nil"/>
            </w:tcBorders>
            <w:vAlign w:val="center"/>
          </w:tcPr>
          <w:p w14:paraId="091BD89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33 </w:t>
            </w:r>
          </w:p>
        </w:tc>
        <w:tc>
          <w:tcPr>
            <w:tcW w:w="830" w:type="dxa"/>
            <w:gridSpan w:val="2"/>
            <w:tcBorders>
              <w:tl2br w:val="nil"/>
              <w:tr2bl w:val="nil"/>
            </w:tcBorders>
            <w:vAlign w:val="center"/>
          </w:tcPr>
          <w:p w14:paraId="5220871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30 </w:t>
            </w:r>
          </w:p>
        </w:tc>
        <w:tc>
          <w:tcPr>
            <w:tcW w:w="830" w:type="dxa"/>
            <w:gridSpan w:val="2"/>
            <w:tcBorders>
              <w:tl2br w:val="nil"/>
              <w:tr2bl w:val="nil"/>
            </w:tcBorders>
            <w:vAlign w:val="center"/>
          </w:tcPr>
          <w:p w14:paraId="5FE7953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28 </w:t>
            </w:r>
          </w:p>
        </w:tc>
        <w:tc>
          <w:tcPr>
            <w:tcW w:w="830" w:type="dxa"/>
            <w:gridSpan w:val="2"/>
            <w:tcBorders>
              <w:tl2br w:val="nil"/>
              <w:tr2bl w:val="nil"/>
            </w:tcBorders>
            <w:vAlign w:val="center"/>
          </w:tcPr>
          <w:p w14:paraId="4076899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27 </w:t>
            </w:r>
          </w:p>
        </w:tc>
        <w:tc>
          <w:tcPr>
            <w:tcW w:w="836" w:type="dxa"/>
            <w:tcBorders>
              <w:tl2br w:val="nil"/>
              <w:tr2bl w:val="nil"/>
            </w:tcBorders>
            <w:vAlign w:val="center"/>
          </w:tcPr>
          <w:p w14:paraId="6273677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25 </w:t>
            </w:r>
          </w:p>
        </w:tc>
        <w:tc>
          <w:tcPr>
            <w:tcW w:w="564" w:type="dxa"/>
            <w:tcBorders>
              <w:tl2br w:val="nil"/>
              <w:tr2bl w:val="nil"/>
            </w:tcBorders>
            <w:vAlign w:val="center"/>
          </w:tcPr>
          <w:p w14:paraId="3632CB1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丙</w:t>
            </w:r>
          </w:p>
        </w:tc>
      </w:tr>
      <w:tr w14:paraId="6DE754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restart"/>
            <w:tcBorders>
              <w:tl2br w:val="nil"/>
              <w:tr2bl w:val="nil"/>
            </w:tcBorders>
            <w:vAlign w:val="center"/>
          </w:tcPr>
          <w:p w14:paraId="433A9C5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6</w:t>
            </w:r>
          </w:p>
        </w:tc>
        <w:tc>
          <w:tcPr>
            <w:tcW w:w="847" w:type="dxa"/>
            <w:tcBorders>
              <w:tl2br w:val="nil"/>
              <w:tr2bl w:val="nil"/>
            </w:tcBorders>
            <w:vAlign w:val="center"/>
          </w:tcPr>
          <w:p w14:paraId="4703171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011302000020000</w:t>
            </w:r>
          </w:p>
        </w:tc>
        <w:tc>
          <w:tcPr>
            <w:tcW w:w="902" w:type="dxa"/>
            <w:tcBorders>
              <w:tl2br w:val="nil"/>
              <w:tr2bl w:val="nil"/>
            </w:tcBorders>
            <w:vAlign w:val="center"/>
          </w:tcPr>
          <w:p w14:paraId="5EF859A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重症监护护理</w:t>
            </w:r>
          </w:p>
        </w:tc>
        <w:tc>
          <w:tcPr>
            <w:tcW w:w="1883" w:type="dxa"/>
            <w:tcBorders>
              <w:tl2br w:val="nil"/>
              <w:tr2bl w:val="nil"/>
            </w:tcBorders>
            <w:vAlign w:val="center"/>
          </w:tcPr>
          <w:p w14:paraId="355CB63E">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指在重症监护病房内，护理人员为重症监护患者提供的相关护理。</w:t>
            </w:r>
          </w:p>
        </w:tc>
        <w:tc>
          <w:tcPr>
            <w:tcW w:w="2549" w:type="dxa"/>
            <w:tcBorders>
              <w:tl2br w:val="nil"/>
              <w:tr2bl w:val="nil"/>
            </w:tcBorders>
            <w:vAlign w:val="center"/>
          </w:tcPr>
          <w:p w14:paraId="2CE5A554">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密切观察病情及生命体征、根据医嘱正确实施治疗用药、评估患者状态、评定相关指标、记出入量、随时配合抢救、及时书写护理记录、喂食、翻身、洗漱、并发症预防等全方位实施生活护理、口腔护理、皮肤护理、会阴护理、肛周护理、心理护理、健康指导等所需的人力资源和基本物质资源消耗。不含其他专项护理。</w:t>
            </w:r>
          </w:p>
        </w:tc>
        <w:tc>
          <w:tcPr>
            <w:tcW w:w="427" w:type="dxa"/>
            <w:tcBorders>
              <w:tl2br w:val="nil"/>
              <w:tr2bl w:val="nil"/>
            </w:tcBorders>
            <w:vAlign w:val="center"/>
          </w:tcPr>
          <w:p w14:paraId="4FB40D6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01儿童加收</w:t>
            </w:r>
          </w:p>
        </w:tc>
        <w:tc>
          <w:tcPr>
            <w:tcW w:w="427" w:type="dxa"/>
            <w:tcBorders>
              <w:tl2br w:val="nil"/>
              <w:tr2bl w:val="nil"/>
            </w:tcBorders>
            <w:vAlign w:val="center"/>
          </w:tcPr>
          <w:p w14:paraId="6D70F080">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68519E6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小时</w:t>
            </w:r>
          </w:p>
        </w:tc>
        <w:tc>
          <w:tcPr>
            <w:tcW w:w="2170" w:type="dxa"/>
            <w:tcBorders>
              <w:tl2br w:val="nil"/>
              <w:tr2bl w:val="nil"/>
            </w:tcBorders>
            <w:vAlign w:val="center"/>
          </w:tcPr>
          <w:p w14:paraId="6646D1A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1.指在重症监护病房内实施的护理操作，不可与分级护理同时收费，可以与严密隔离护理/保护性隔离护理同时收费，不包含监测项目费用。</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2.转入重症监护病房后按“小时”收取重症监护护理费用，转入普通病房后，当日可按“日”收取分级护理费用。</w:t>
            </w:r>
          </w:p>
        </w:tc>
        <w:tc>
          <w:tcPr>
            <w:tcW w:w="830" w:type="dxa"/>
            <w:gridSpan w:val="2"/>
            <w:tcBorders>
              <w:tl2br w:val="nil"/>
              <w:tr2bl w:val="nil"/>
            </w:tcBorders>
            <w:vAlign w:val="center"/>
          </w:tcPr>
          <w:p w14:paraId="15FD642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8</w:t>
            </w:r>
          </w:p>
        </w:tc>
        <w:tc>
          <w:tcPr>
            <w:tcW w:w="830" w:type="dxa"/>
            <w:gridSpan w:val="2"/>
            <w:tcBorders>
              <w:tl2br w:val="nil"/>
              <w:tr2bl w:val="nil"/>
            </w:tcBorders>
            <w:vAlign w:val="center"/>
          </w:tcPr>
          <w:p w14:paraId="5EA2EDE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7</w:t>
            </w:r>
          </w:p>
        </w:tc>
        <w:tc>
          <w:tcPr>
            <w:tcW w:w="830" w:type="dxa"/>
            <w:gridSpan w:val="2"/>
            <w:tcBorders>
              <w:tl2br w:val="nil"/>
              <w:tr2bl w:val="nil"/>
            </w:tcBorders>
            <w:vAlign w:val="center"/>
          </w:tcPr>
          <w:p w14:paraId="0BD644F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7</w:t>
            </w:r>
          </w:p>
        </w:tc>
        <w:tc>
          <w:tcPr>
            <w:tcW w:w="830" w:type="dxa"/>
            <w:gridSpan w:val="2"/>
            <w:tcBorders>
              <w:tl2br w:val="nil"/>
              <w:tr2bl w:val="nil"/>
            </w:tcBorders>
            <w:vAlign w:val="center"/>
          </w:tcPr>
          <w:p w14:paraId="2C1C4E3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6</w:t>
            </w:r>
          </w:p>
        </w:tc>
        <w:tc>
          <w:tcPr>
            <w:tcW w:w="836" w:type="dxa"/>
            <w:tcBorders>
              <w:tl2br w:val="nil"/>
              <w:tr2bl w:val="nil"/>
            </w:tcBorders>
            <w:vAlign w:val="center"/>
          </w:tcPr>
          <w:p w14:paraId="682D704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6</w:t>
            </w:r>
          </w:p>
        </w:tc>
        <w:tc>
          <w:tcPr>
            <w:tcW w:w="564" w:type="dxa"/>
            <w:tcBorders>
              <w:tl2br w:val="nil"/>
              <w:tr2bl w:val="nil"/>
            </w:tcBorders>
            <w:vAlign w:val="center"/>
          </w:tcPr>
          <w:p w14:paraId="3387565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72299E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continue"/>
            <w:tcBorders>
              <w:tl2br w:val="nil"/>
              <w:tr2bl w:val="nil"/>
            </w:tcBorders>
            <w:vAlign w:val="center"/>
          </w:tcPr>
          <w:p w14:paraId="533CDBCC">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847" w:type="dxa"/>
            <w:tcBorders>
              <w:tl2br w:val="nil"/>
              <w:tr2bl w:val="nil"/>
            </w:tcBorders>
            <w:vAlign w:val="center"/>
          </w:tcPr>
          <w:p w14:paraId="43F949C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011302000020001</w:t>
            </w:r>
          </w:p>
        </w:tc>
        <w:tc>
          <w:tcPr>
            <w:tcW w:w="902" w:type="dxa"/>
            <w:tcBorders>
              <w:tl2br w:val="nil"/>
              <w:tr2bl w:val="nil"/>
            </w:tcBorders>
            <w:vAlign w:val="center"/>
          </w:tcPr>
          <w:p w14:paraId="0623876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重症监护护理-儿童（加收）</w:t>
            </w:r>
          </w:p>
        </w:tc>
        <w:tc>
          <w:tcPr>
            <w:tcW w:w="1883" w:type="dxa"/>
            <w:tcBorders>
              <w:tl2br w:val="nil"/>
              <w:tr2bl w:val="nil"/>
            </w:tcBorders>
            <w:vAlign w:val="center"/>
          </w:tcPr>
          <w:p w14:paraId="5CDD34BE">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指在重症监护病房内，护理人员为重症监护患者提供的相关护理。</w:t>
            </w:r>
          </w:p>
        </w:tc>
        <w:tc>
          <w:tcPr>
            <w:tcW w:w="2549" w:type="dxa"/>
            <w:tcBorders>
              <w:tl2br w:val="nil"/>
              <w:tr2bl w:val="nil"/>
            </w:tcBorders>
            <w:vAlign w:val="center"/>
          </w:tcPr>
          <w:p w14:paraId="4F572A7F">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密切观察病情及生命体征、根据医嘱正确实施治疗用药、评估患者状态、评定相关指标、记出入量、随时配合抢救、及时书写护理记录、喂食、翻身、洗漱、并发症预防等全方位实施生活护理、口腔护理、皮肤护理、会阴护理、肛周护理、心理护理、健康指导等所需的人力资源和基本物质资源消耗。不含其他专项护理。</w:t>
            </w:r>
          </w:p>
        </w:tc>
        <w:tc>
          <w:tcPr>
            <w:tcW w:w="427" w:type="dxa"/>
            <w:tcBorders>
              <w:tl2br w:val="nil"/>
              <w:tr2bl w:val="nil"/>
            </w:tcBorders>
            <w:vAlign w:val="center"/>
          </w:tcPr>
          <w:p w14:paraId="0B6F1EEE">
            <w:pPr>
              <w:keepNext w:val="0"/>
              <w:keepLines w:val="0"/>
              <w:pageBreakBefore w:val="0"/>
              <w:widowControl/>
              <w:kinsoku/>
              <w:wordWrap/>
              <w:overflowPunct/>
              <w:topLinePunct w:val="0"/>
              <w:autoSpaceDE/>
              <w:autoSpaceDN/>
              <w:bidi w:val="0"/>
              <w:adjustRightInd/>
              <w:snapToGrid/>
              <w:spacing w:line="220" w:lineRule="exac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1249F52B">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795F10F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小时</w:t>
            </w:r>
          </w:p>
        </w:tc>
        <w:tc>
          <w:tcPr>
            <w:tcW w:w="2170" w:type="dxa"/>
            <w:tcBorders>
              <w:tl2br w:val="nil"/>
              <w:tr2bl w:val="nil"/>
            </w:tcBorders>
            <w:vAlign w:val="center"/>
          </w:tcPr>
          <w:p w14:paraId="749DBC9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1.指在重症监护病房内实施的护理操作，不可与分级护理同时收费，可以与严密隔离护理/保护性隔离护理同时收费，不包含监测项目费用。</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2.转入重症监护病房后按“小时”收取重症监护护理费用，转入普通病房后，当日可按“日”收取分级护理费用。</w:t>
            </w:r>
          </w:p>
        </w:tc>
        <w:tc>
          <w:tcPr>
            <w:tcW w:w="830" w:type="dxa"/>
            <w:gridSpan w:val="2"/>
            <w:tcBorders>
              <w:tl2br w:val="nil"/>
              <w:tr2bl w:val="nil"/>
            </w:tcBorders>
            <w:vAlign w:val="center"/>
          </w:tcPr>
          <w:p w14:paraId="6EA012A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1461F54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4C38332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674AA45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6" w:type="dxa"/>
            <w:tcBorders>
              <w:tl2br w:val="nil"/>
              <w:tr2bl w:val="nil"/>
            </w:tcBorders>
            <w:vAlign w:val="center"/>
          </w:tcPr>
          <w:p w14:paraId="318657C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564" w:type="dxa"/>
            <w:tcBorders>
              <w:tl2br w:val="nil"/>
              <w:tr2bl w:val="nil"/>
            </w:tcBorders>
            <w:vAlign w:val="center"/>
          </w:tcPr>
          <w:p w14:paraId="10A0958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06066C8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19F3327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7</w:t>
            </w:r>
          </w:p>
        </w:tc>
        <w:tc>
          <w:tcPr>
            <w:tcW w:w="847" w:type="dxa"/>
            <w:tcBorders>
              <w:tl2br w:val="nil"/>
              <w:tr2bl w:val="nil"/>
            </w:tcBorders>
            <w:vAlign w:val="center"/>
          </w:tcPr>
          <w:p w14:paraId="0A7CC6C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011302000030000</w:t>
            </w:r>
          </w:p>
        </w:tc>
        <w:tc>
          <w:tcPr>
            <w:tcW w:w="902" w:type="dxa"/>
            <w:tcBorders>
              <w:tl2br w:val="nil"/>
              <w:tr2bl w:val="nil"/>
            </w:tcBorders>
            <w:vAlign w:val="center"/>
          </w:tcPr>
          <w:p w14:paraId="0199976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精神病人护理</w:t>
            </w:r>
          </w:p>
        </w:tc>
        <w:tc>
          <w:tcPr>
            <w:tcW w:w="1883" w:type="dxa"/>
            <w:tcBorders>
              <w:tl2br w:val="nil"/>
              <w:tr2bl w:val="nil"/>
            </w:tcBorders>
            <w:vAlign w:val="center"/>
          </w:tcPr>
          <w:p w14:paraId="1A1B8911">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指对精神病患者提供的护理。</w:t>
            </w:r>
          </w:p>
        </w:tc>
        <w:tc>
          <w:tcPr>
            <w:tcW w:w="2549" w:type="dxa"/>
            <w:tcBorders>
              <w:tl2br w:val="nil"/>
              <w:tr2bl w:val="nil"/>
            </w:tcBorders>
            <w:vAlign w:val="center"/>
          </w:tcPr>
          <w:p w14:paraId="2A5DDA02">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所定价格涵盖密切巡视患者、观察患者情绪变化、并对患者提供适宜的照顾、采取预防意外事件发生的措施、做好健康教育指导等所需的人力资源和基本物质资源消耗。</w:t>
            </w:r>
          </w:p>
        </w:tc>
        <w:tc>
          <w:tcPr>
            <w:tcW w:w="427" w:type="dxa"/>
            <w:tcBorders>
              <w:tl2br w:val="nil"/>
              <w:tr2bl w:val="nil"/>
            </w:tcBorders>
            <w:vAlign w:val="center"/>
          </w:tcPr>
          <w:p w14:paraId="33D20E44">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6AC0E3E1">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78FFAA0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2F94F709">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742129F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18 </w:t>
            </w:r>
          </w:p>
        </w:tc>
        <w:tc>
          <w:tcPr>
            <w:tcW w:w="830" w:type="dxa"/>
            <w:gridSpan w:val="2"/>
            <w:tcBorders>
              <w:tl2br w:val="nil"/>
              <w:tr2bl w:val="nil"/>
            </w:tcBorders>
            <w:vAlign w:val="center"/>
          </w:tcPr>
          <w:p w14:paraId="671FE6F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16 </w:t>
            </w:r>
          </w:p>
        </w:tc>
        <w:tc>
          <w:tcPr>
            <w:tcW w:w="830" w:type="dxa"/>
            <w:gridSpan w:val="2"/>
            <w:tcBorders>
              <w:tl2br w:val="nil"/>
              <w:tr2bl w:val="nil"/>
            </w:tcBorders>
            <w:vAlign w:val="center"/>
          </w:tcPr>
          <w:p w14:paraId="2469B4C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15 </w:t>
            </w:r>
          </w:p>
        </w:tc>
        <w:tc>
          <w:tcPr>
            <w:tcW w:w="830" w:type="dxa"/>
            <w:gridSpan w:val="2"/>
            <w:tcBorders>
              <w:tl2br w:val="nil"/>
              <w:tr2bl w:val="nil"/>
            </w:tcBorders>
            <w:vAlign w:val="center"/>
          </w:tcPr>
          <w:p w14:paraId="27CD41A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14 </w:t>
            </w:r>
          </w:p>
        </w:tc>
        <w:tc>
          <w:tcPr>
            <w:tcW w:w="836" w:type="dxa"/>
            <w:tcBorders>
              <w:tl2br w:val="nil"/>
              <w:tr2bl w:val="nil"/>
            </w:tcBorders>
            <w:vAlign w:val="center"/>
          </w:tcPr>
          <w:p w14:paraId="1C9CB70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11.9 </w:t>
            </w:r>
          </w:p>
        </w:tc>
        <w:tc>
          <w:tcPr>
            <w:tcW w:w="564" w:type="dxa"/>
            <w:tcBorders>
              <w:tl2br w:val="nil"/>
              <w:tr2bl w:val="nil"/>
            </w:tcBorders>
            <w:vAlign w:val="center"/>
          </w:tcPr>
          <w:p w14:paraId="4958BE8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228742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restart"/>
            <w:tcBorders>
              <w:tl2br w:val="nil"/>
              <w:tr2bl w:val="nil"/>
            </w:tcBorders>
            <w:vAlign w:val="center"/>
          </w:tcPr>
          <w:p w14:paraId="095A8D0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8</w:t>
            </w:r>
          </w:p>
        </w:tc>
        <w:tc>
          <w:tcPr>
            <w:tcW w:w="847" w:type="dxa"/>
            <w:tcBorders>
              <w:tl2br w:val="nil"/>
              <w:tr2bl w:val="nil"/>
            </w:tcBorders>
            <w:vAlign w:val="center"/>
          </w:tcPr>
          <w:p w14:paraId="2BCEFE9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011302000040000</w:t>
            </w:r>
          </w:p>
        </w:tc>
        <w:tc>
          <w:tcPr>
            <w:tcW w:w="902" w:type="dxa"/>
            <w:tcBorders>
              <w:tl2br w:val="nil"/>
              <w:tr2bl w:val="nil"/>
            </w:tcBorders>
            <w:vAlign w:val="center"/>
          </w:tcPr>
          <w:p w14:paraId="6242E56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严密隔离护理</w:t>
            </w:r>
          </w:p>
        </w:tc>
        <w:tc>
          <w:tcPr>
            <w:tcW w:w="1883" w:type="dxa"/>
            <w:tcBorders>
              <w:tl2br w:val="nil"/>
              <w:tr2bl w:val="nil"/>
            </w:tcBorders>
            <w:vAlign w:val="center"/>
          </w:tcPr>
          <w:p w14:paraId="54AAD878">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指对甲类、乙类传染病患者在严密隔离条件下提供的护理。</w:t>
            </w:r>
          </w:p>
        </w:tc>
        <w:tc>
          <w:tcPr>
            <w:tcW w:w="2549" w:type="dxa"/>
            <w:tcBorders>
              <w:tl2br w:val="nil"/>
              <w:tr2bl w:val="nil"/>
            </w:tcBorders>
            <w:vAlign w:val="center"/>
          </w:tcPr>
          <w:p w14:paraId="5C2B2BD4">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所定价格涵盖穿戴个人防护用品、标识、患者排出物消毒处理、生活垃圾及医疗垃圾处理、消毒及细菌采样等所需的人力资源和基本物质资源消耗。</w:t>
            </w:r>
          </w:p>
        </w:tc>
        <w:tc>
          <w:tcPr>
            <w:tcW w:w="427" w:type="dxa"/>
            <w:tcBorders>
              <w:tl2br w:val="nil"/>
              <w:tr2bl w:val="nil"/>
            </w:tcBorders>
            <w:vAlign w:val="center"/>
          </w:tcPr>
          <w:p w14:paraId="5CDD336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01儿童加收</w:t>
            </w:r>
          </w:p>
        </w:tc>
        <w:tc>
          <w:tcPr>
            <w:tcW w:w="427" w:type="dxa"/>
            <w:tcBorders>
              <w:tl2br w:val="nil"/>
              <w:tr2bl w:val="nil"/>
            </w:tcBorders>
            <w:vAlign w:val="center"/>
          </w:tcPr>
          <w:p w14:paraId="5A84B376">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59F9CE5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3676045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严密隔离护理条件参照《全国医疗服务项目技术规范(2023年版)》。</w:t>
            </w:r>
          </w:p>
        </w:tc>
        <w:tc>
          <w:tcPr>
            <w:tcW w:w="830" w:type="dxa"/>
            <w:gridSpan w:val="2"/>
            <w:tcBorders>
              <w:tl2br w:val="nil"/>
              <w:tr2bl w:val="nil"/>
            </w:tcBorders>
            <w:vAlign w:val="center"/>
          </w:tcPr>
          <w:p w14:paraId="614E551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40 </w:t>
            </w:r>
          </w:p>
        </w:tc>
        <w:tc>
          <w:tcPr>
            <w:tcW w:w="830" w:type="dxa"/>
            <w:gridSpan w:val="2"/>
            <w:tcBorders>
              <w:tl2br w:val="nil"/>
              <w:tr2bl w:val="nil"/>
            </w:tcBorders>
            <w:vAlign w:val="center"/>
          </w:tcPr>
          <w:p w14:paraId="05DF171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37 </w:t>
            </w:r>
          </w:p>
        </w:tc>
        <w:tc>
          <w:tcPr>
            <w:tcW w:w="830" w:type="dxa"/>
            <w:gridSpan w:val="2"/>
            <w:tcBorders>
              <w:tl2br w:val="nil"/>
              <w:tr2bl w:val="nil"/>
            </w:tcBorders>
            <w:vAlign w:val="center"/>
          </w:tcPr>
          <w:p w14:paraId="66AE5F3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34 </w:t>
            </w:r>
          </w:p>
        </w:tc>
        <w:tc>
          <w:tcPr>
            <w:tcW w:w="830" w:type="dxa"/>
            <w:gridSpan w:val="2"/>
            <w:tcBorders>
              <w:tl2br w:val="nil"/>
              <w:tr2bl w:val="nil"/>
            </w:tcBorders>
            <w:vAlign w:val="center"/>
          </w:tcPr>
          <w:p w14:paraId="16A1F5E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32 </w:t>
            </w:r>
          </w:p>
        </w:tc>
        <w:tc>
          <w:tcPr>
            <w:tcW w:w="836" w:type="dxa"/>
            <w:tcBorders>
              <w:tl2br w:val="nil"/>
              <w:tr2bl w:val="nil"/>
            </w:tcBorders>
            <w:vAlign w:val="center"/>
          </w:tcPr>
          <w:p w14:paraId="2EFF1CA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30 </w:t>
            </w:r>
          </w:p>
        </w:tc>
        <w:tc>
          <w:tcPr>
            <w:tcW w:w="564" w:type="dxa"/>
            <w:tcBorders>
              <w:tl2br w:val="nil"/>
              <w:tr2bl w:val="nil"/>
            </w:tcBorders>
            <w:vAlign w:val="center"/>
          </w:tcPr>
          <w:p w14:paraId="3989394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6A0F4A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continue"/>
            <w:tcBorders>
              <w:tl2br w:val="nil"/>
              <w:tr2bl w:val="nil"/>
            </w:tcBorders>
            <w:vAlign w:val="center"/>
          </w:tcPr>
          <w:p w14:paraId="3C86CE44">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847" w:type="dxa"/>
            <w:tcBorders>
              <w:tl2br w:val="nil"/>
              <w:tr2bl w:val="nil"/>
            </w:tcBorders>
            <w:vAlign w:val="center"/>
          </w:tcPr>
          <w:p w14:paraId="580350A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011302000040001</w:t>
            </w:r>
          </w:p>
        </w:tc>
        <w:tc>
          <w:tcPr>
            <w:tcW w:w="902" w:type="dxa"/>
            <w:tcBorders>
              <w:tl2br w:val="nil"/>
              <w:tr2bl w:val="nil"/>
            </w:tcBorders>
            <w:vAlign w:val="center"/>
          </w:tcPr>
          <w:p w14:paraId="1E9C4EE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严密隔离护理-儿童（加收）</w:t>
            </w:r>
          </w:p>
        </w:tc>
        <w:tc>
          <w:tcPr>
            <w:tcW w:w="1883" w:type="dxa"/>
            <w:tcBorders>
              <w:tl2br w:val="nil"/>
              <w:tr2bl w:val="nil"/>
            </w:tcBorders>
            <w:vAlign w:val="center"/>
          </w:tcPr>
          <w:p w14:paraId="56486EA3">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指对甲类、乙类传染病患者在严密隔离条件下提供的护理。</w:t>
            </w:r>
          </w:p>
        </w:tc>
        <w:tc>
          <w:tcPr>
            <w:tcW w:w="2549" w:type="dxa"/>
            <w:tcBorders>
              <w:tl2br w:val="nil"/>
              <w:tr2bl w:val="nil"/>
            </w:tcBorders>
            <w:vAlign w:val="center"/>
          </w:tcPr>
          <w:p w14:paraId="4A7754B1">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所定价格涵盖穿戴个人防护用品、标识、患者排出物消毒处理、生活垃圾及医疗垃圾处理、消毒及细菌采样等所需的人力资源和基本物质资源消耗。</w:t>
            </w:r>
          </w:p>
        </w:tc>
        <w:tc>
          <w:tcPr>
            <w:tcW w:w="427" w:type="dxa"/>
            <w:tcBorders>
              <w:tl2br w:val="nil"/>
              <w:tr2bl w:val="nil"/>
            </w:tcBorders>
            <w:vAlign w:val="center"/>
          </w:tcPr>
          <w:p w14:paraId="710D1629">
            <w:pPr>
              <w:keepNext w:val="0"/>
              <w:keepLines w:val="0"/>
              <w:pageBreakBefore w:val="0"/>
              <w:widowControl/>
              <w:kinsoku/>
              <w:wordWrap/>
              <w:overflowPunct/>
              <w:topLinePunct w:val="0"/>
              <w:autoSpaceDE/>
              <w:autoSpaceDN/>
              <w:bidi w:val="0"/>
              <w:adjustRightInd/>
              <w:snapToGrid/>
              <w:spacing w:line="220" w:lineRule="exac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62BED223">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5A879E5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5558F539">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严密隔离护理条件参照《全国医疗服务项目技术规范(2023年版)》。</w:t>
            </w:r>
          </w:p>
        </w:tc>
        <w:tc>
          <w:tcPr>
            <w:tcW w:w="830" w:type="dxa"/>
            <w:gridSpan w:val="2"/>
            <w:tcBorders>
              <w:tl2br w:val="nil"/>
              <w:tr2bl w:val="nil"/>
            </w:tcBorders>
            <w:vAlign w:val="center"/>
          </w:tcPr>
          <w:p w14:paraId="0D69534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06176B4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15B30A3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159C459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6" w:type="dxa"/>
            <w:tcBorders>
              <w:tl2br w:val="nil"/>
              <w:tr2bl w:val="nil"/>
            </w:tcBorders>
            <w:vAlign w:val="center"/>
          </w:tcPr>
          <w:p w14:paraId="67424B8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564" w:type="dxa"/>
            <w:tcBorders>
              <w:tl2br w:val="nil"/>
              <w:tr2bl w:val="nil"/>
            </w:tcBorders>
            <w:vAlign w:val="center"/>
          </w:tcPr>
          <w:p w14:paraId="14B00DF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2D030C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restart"/>
            <w:tcBorders>
              <w:tl2br w:val="nil"/>
              <w:tr2bl w:val="nil"/>
            </w:tcBorders>
            <w:vAlign w:val="center"/>
          </w:tcPr>
          <w:p w14:paraId="5362CCA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9</w:t>
            </w:r>
          </w:p>
        </w:tc>
        <w:tc>
          <w:tcPr>
            <w:tcW w:w="847" w:type="dxa"/>
            <w:tcBorders>
              <w:tl2br w:val="nil"/>
              <w:tr2bl w:val="nil"/>
            </w:tcBorders>
            <w:vAlign w:val="center"/>
          </w:tcPr>
          <w:p w14:paraId="0780584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011302000050000</w:t>
            </w:r>
          </w:p>
        </w:tc>
        <w:tc>
          <w:tcPr>
            <w:tcW w:w="902" w:type="dxa"/>
            <w:tcBorders>
              <w:tl2br w:val="nil"/>
              <w:tr2bl w:val="nil"/>
            </w:tcBorders>
            <w:vAlign w:val="center"/>
          </w:tcPr>
          <w:p w14:paraId="37AFE98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保护性隔离护理</w:t>
            </w:r>
          </w:p>
        </w:tc>
        <w:tc>
          <w:tcPr>
            <w:tcW w:w="1883" w:type="dxa"/>
            <w:tcBorders>
              <w:tl2br w:val="nil"/>
              <w:tr2bl w:val="nil"/>
            </w:tcBorders>
            <w:vAlign w:val="center"/>
          </w:tcPr>
          <w:p w14:paraId="616E6105">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指对抵抗力低、极易感染患者在保护性隔离条件下的护理。</w:t>
            </w:r>
          </w:p>
        </w:tc>
        <w:tc>
          <w:tcPr>
            <w:tcW w:w="2549" w:type="dxa"/>
            <w:tcBorders>
              <w:tl2br w:val="nil"/>
              <w:tr2bl w:val="nil"/>
            </w:tcBorders>
            <w:vAlign w:val="center"/>
          </w:tcPr>
          <w:p w14:paraId="6FF6788B">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所定价格涵盖观察病情及生命体征、评估、评定、防护用品、消毒清洁及细菌采样等所需的人力资源和基本物质资源消耗。</w:t>
            </w:r>
          </w:p>
        </w:tc>
        <w:tc>
          <w:tcPr>
            <w:tcW w:w="427" w:type="dxa"/>
            <w:tcBorders>
              <w:tl2br w:val="nil"/>
              <w:tr2bl w:val="nil"/>
            </w:tcBorders>
            <w:vAlign w:val="center"/>
          </w:tcPr>
          <w:p w14:paraId="47B9DFD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01儿童加收</w:t>
            </w:r>
          </w:p>
        </w:tc>
        <w:tc>
          <w:tcPr>
            <w:tcW w:w="427" w:type="dxa"/>
            <w:tcBorders>
              <w:tl2br w:val="nil"/>
              <w:tr2bl w:val="nil"/>
            </w:tcBorders>
            <w:vAlign w:val="center"/>
          </w:tcPr>
          <w:p w14:paraId="1CC293D1">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5041AAF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55C98FE6">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保护性隔离条件参照《全国医疗服务项目技术规范(2023年版)》。</w:t>
            </w:r>
          </w:p>
        </w:tc>
        <w:tc>
          <w:tcPr>
            <w:tcW w:w="830" w:type="dxa"/>
            <w:gridSpan w:val="2"/>
            <w:tcBorders>
              <w:tl2br w:val="nil"/>
              <w:tr2bl w:val="nil"/>
            </w:tcBorders>
            <w:vAlign w:val="center"/>
          </w:tcPr>
          <w:p w14:paraId="4EDD38B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40 </w:t>
            </w:r>
          </w:p>
        </w:tc>
        <w:tc>
          <w:tcPr>
            <w:tcW w:w="830" w:type="dxa"/>
            <w:gridSpan w:val="2"/>
            <w:tcBorders>
              <w:tl2br w:val="nil"/>
              <w:tr2bl w:val="nil"/>
            </w:tcBorders>
            <w:vAlign w:val="center"/>
          </w:tcPr>
          <w:p w14:paraId="2BE9261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37 </w:t>
            </w:r>
          </w:p>
        </w:tc>
        <w:tc>
          <w:tcPr>
            <w:tcW w:w="830" w:type="dxa"/>
            <w:gridSpan w:val="2"/>
            <w:tcBorders>
              <w:tl2br w:val="nil"/>
              <w:tr2bl w:val="nil"/>
            </w:tcBorders>
            <w:vAlign w:val="center"/>
          </w:tcPr>
          <w:p w14:paraId="7F0961F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34 </w:t>
            </w:r>
          </w:p>
        </w:tc>
        <w:tc>
          <w:tcPr>
            <w:tcW w:w="830" w:type="dxa"/>
            <w:gridSpan w:val="2"/>
            <w:tcBorders>
              <w:tl2br w:val="nil"/>
              <w:tr2bl w:val="nil"/>
            </w:tcBorders>
            <w:vAlign w:val="center"/>
          </w:tcPr>
          <w:p w14:paraId="2DE29E2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32 </w:t>
            </w:r>
          </w:p>
        </w:tc>
        <w:tc>
          <w:tcPr>
            <w:tcW w:w="836" w:type="dxa"/>
            <w:tcBorders>
              <w:tl2br w:val="nil"/>
              <w:tr2bl w:val="nil"/>
            </w:tcBorders>
            <w:vAlign w:val="center"/>
          </w:tcPr>
          <w:p w14:paraId="2A8DC72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30 </w:t>
            </w:r>
          </w:p>
        </w:tc>
        <w:tc>
          <w:tcPr>
            <w:tcW w:w="564" w:type="dxa"/>
            <w:tcBorders>
              <w:tl2br w:val="nil"/>
              <w:tr2bl w:val="nil"/>
            </w:tcBorders>
            <w:vAlign w:val="center"/>
          </w:tcPr>
          <w:p w14:paraId="4DFA792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73FB31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continue"/>
            <w:tcBorders>
              <w:tl2br w:val="nil"/>
              <w:tr2bl w:val="nil"/>
            </w:tcBorders>
            <w:vAlign w:val="center"/>
          </w:tcPr>
          <w:p w14:paraId="6A863C19">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847" w:type="dxa"/>
            <w:tcBorders>
              <w:tl2br w:val="nil"/>
              <w:tr2bl w:val="nil"/>
            </w:tcBorders>
            <w:vAlign w:val="center"/>
          </w:tcPr>
          <w:p w14:paraId="0537373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011302000050001</w:t>
            </w:r>
          </w:p>
        </w:tc>
        <w:tc>
          <w:tcPr>
            <w:tcW w:w="902" w:type="dxa"/>
            <w:tcBorders>
              <w:tl2br w:val="nil"/>
              <w:tr2bl w:val="nil"/>
            </w:tcBorders>
            <w:vAlign w:val="center"/>
          </w:tcPr>
          <w:p w14:paraId="03086E0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保护性隔离护理-儿童（加收）</w:t>
            </w:r>
          </w:p>
        </w:tc>
        <w:tc>
          <w:tcPr>
            <w:tcW w:w="1883" w:type="dxa"/>
            <w:tcBorders>
              <w:tl2br w:val="nil"/>
              <w:tr2bl w:val="nil"/>
            </w:tcBorders>
            <w:vAlign w:val="center"/>
          </w:tcPr>
          <w:p w14:paraId="310E2EB2">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auto"/>
                <w:sz w:val="17"/>
                <w:szCs w:val="17"/>
                <w:u w:val="none"/>
              </w:rPr>
            </w:pPr>
          </w:p>
        </w:tc>
        <w:tc>
          <w:tcPr>
            <w:tcW w:w="2549" w:type="dxa"/>
            <w:tcBorders>
              <w:tl2br w:val="nil"/>
              <w:tr2bl w:val="nil"/>
            </w:tcBorders>
            <w:vAlign w:val="center"/>
          </w:tcPr>
          <w:p w14:paraId="66CD5EF0">
            <w:pPr>
              <w:keepNext w:val="0"/>
              <w:keepLines w:val="0"/>
              <w:pageBreakBefore w:val="0"/>
              <w:widowControl/>
              <w:kinsoku/>
              <w:wordWrap/>
              <w:overflowPunct/>
              <w:topLinePunct w:val="0"/>
              <w:autoSpaceDE/>
              <w:autoSpaceDN/>
              <w:bidi w:val="0"/>
              <w:adjustRightInd/>
              <w:snapToGrid/>
              <w:spacing w:line="220" w:lineRule="exact"/>
              <w:jc w:val="both"/>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69BBADAF">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75C5826D">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2FC32F0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544A4999">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1D2D6AF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73CB6D3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48EE710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0" w:type="dxa"/>
            <w:gridSpan w:val="2"/>
            <w:tcBorders>
              <w:tl2br w:val="nil"/>
              <w:tr2bl w:val="nil"/>
            </w:tcBorders>
            <w:vAlign w:val="center"/>
          </w:tcPr>
          <w:p w14:paraId="481D009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36" w:type="dxa"/>
            <w:tcBorders>
              <w:tl2br w:val="nil"/>
              <w:tr2bl w:val="nil"/>
            </w:tcBorders>
            <w:vAlign w:val="center"/>
          </w:tcPr>
          <w:p w14:paraId="6F65179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564" w:type="dxa"/>
            <w:tcBorders>
              <w:tl2br w:val="nil"/>
              <w:tr2bl w:val="nil"/>
            </w:tcBorders>
            <w:vAlign w:val="center"/>
          </w:tcPr>
          <w:p w14:paraId="3938C66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70DB56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3EE0B8F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10</w:t>
            </w:r>
          </w:p>
        </w:tc>
        <w:tc>
          <w:tcPr>
            <w:tcW w:w="847" w:type="dxa"/>
            <w:tcBorders>
              <w:tl2br w:val="nil"/>
              <w:tr2bl w:val="nil"/>
            </w:tcBorders>
            <w:vAlign w:val="center"/>
          </w:tcPr>
          <w:p w14:paraId="54A5686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011302000060000</w:t>
            </w:r>
          </w:p>
        </w:tc>
        <w:tc>
          <w:tcPr>
            <w:tcW w:w="902" w:type="dxa"/>
            <w:tcBorders>
              <w:tl2br w:val="nil"/>
              <w:tr2bl w:val="nil"/>
            </w:tcBorders>
            <w:vAlign w:val="center"/>
          </w:tcPr>
          <w:p w14:paraId="095DF10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新生儿护理</w:t>
            </w:r>
          </w:p>
        </w:tc>
        <w:tc>
          <w:tcPr>
            <w:tcW w:w="1883" w:type="dxa"/>
            <w:tcBorders>
              <w:tl2br w:val="nil"/>
              <w:tr2bl w:val="nil"/>
            </w:tcBorders>
            <w:vAlign w:val="center"/>
          </w:tcPr>
          <w:p w14:paraId="52CAB155">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指对从胎儿娩出、脐带结扎后至28天的婴儿进行的相关护理。</w:t>
            </w:r>
          </w:p>
        </w:tc>
        <w:tc>
          <w:tcPr>
            <w:tcW w:w="2549" w:type="dxa"/>
            <w:tcBorders>
              <w:tl2br w:val="nil"/>
              <w:tr2bl w:val="nil"/>
            </w:tcBorders>
            <w:vAlign w:val="center"/>
          </w:tcPr>
          <w:p w14:paraId="39259C8A">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喂养、更换尿布、臀部护理、脐部残端护理、称体重、观察皮肤、洗浴、抚触、更换衣物被服、肛管排气、口腔护理、皮肤护理、会阴护理、肛周护理等所需的人力资源和基本物质资源消耗。不含其他专项护理。</w:t>
            </w:r>
          </w:p>
        </w:tc>
        <w:tc>
          <w:tcPr>
            <w:tcW w:w="427" w:type="dxa"/>
            <w:tcBorders>
              <w:tl2br w:val="nil"/>
              <w:tr2bl w:val="nil"/>
            </w:tcBorders>
            <w:vAlign w:val="center"/>
          </w:tcPr>
          <w:p w14:paraId="78F9AE54">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72632980">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1532A87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74387D02">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不与分级护理同时收取。</w:t>
            </w:r>
          </w:p>
        </w:tc>
        <w:tc>
          <w:tcPr>
            <w:tcW w:w="830" w:type="dxa"/>
            <w:gridSpan w:val="2"/>
            <w:tcBorders>
              <w:tl2br w:val="nil"/>
              <w:tr2bl w:val="nil"/>
            </w:tcBorders>
            <w:vAlign w:val="center"/>
          </w:tcPr>
          <w:p w14:paraId="5FD1D93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73 </w:t>
            </w:r>
          </w:p>
        </w:tc>
        <w:tc>
          <w:tcPr>
            <w:tcW w:w="830" w:type="dxa"/>
            <w:gridSpan w:val="2"/>
            <w:tcBorders>
              <w:tl2br w:val="nil"/>
              <w:tr2bl w:val="nil"/>
            </w:tcBorders>
            <w:vAlign w:val="center"/>
          </w:tcPr>
          <w:p w14:paraId="35B0C83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66 </w:t>
            </w:r>
          </w:p>
        </w:tc>
        <w:tc>
          <w:tcPr>
            <w:tcW w:w="830" w:type="dxa"/>
            <w:gridSpan w:val="2"/>
            <w:tcBorders>
              <w:tl2br w:val="nil"/>
              <w:tr2bl w:val="nil"/>
            </w:tcBorders>
            <w:vAlign w:val="center"/>
          </w:tcPr>
          <w:p w14:paraId="17A020C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61 </w:t>
            </w:r>
          </w:p>
        </w:tc>
        <w:tc>
          <w:tcPr>
            <w:tcW w:w="830" w:type="dxa"/>
            <w:gridSpan w:val="2"/>
            <w:tcBorders>
              <w:tl2br w:val="nil"/>
              <w:tr2bl w:val="nil"/>
            </w:tcBorders>
            <w:vAlign w:val="center"/>
          </w:tcPr>
          <w:p w14:paraId="0F97EEE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58 </w:t>
            </w:r>
          </w:p>
        </w:tc>
        <w:tc>
          <w:tcPr>
            <w:tcW w:w="836" w:type="dxa"/>
            <w:tcBorders>
              <w:tl2br w:val="nil"/>
              <w:tr2bl w:val="nil"/>
            </w:tcBorders>
            <w:vAlign w:val="center"/>
          </w:tcPr>
          <w:p w14:paraId="35CACEE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55</w:t>
            </w:r>
          </w:p>
        </w:tc>
        <w:tc>
          <w:tcPr>
            <w:tcW w:w="564" w:type="dxa"/>
            <w:tcBorders>
              <w:tl2br w:val="nil"/>
              <w:tr2bl w:val="nil"/>
            </w:tcBorders>
            <w:vAlign w:val="center"/>
          </w:tcPr>
          <w:p w14:paraId="30E4258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5C79D6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274BCF1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11</w:t>
            </w:r>
          </w:p>
        </w:tc>
        <w:tc>
          <w:tcPr>
            <w:tcW w:w="847" w:type="dxa"/>
            <w:tcBorders>
              <w:tl2br w:val="nil"/>
              <w:tr2bl w:val="nil"/>
            </w:tcBorders>
            <w:vAlign w:val="center"/>
          </w:tcPr>
          <w:p w14:paraId="4AD9821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011302000070000</w:t>
            </w:r>
          </w:p>
        </w:tc>
        <w:tc>
          <w:tcPr>
            <w:tcW w:w="902" w:type="dxa"/>
            <w:tcBorders>
              <w:tl2br w:val="nil"/>
              <w:tr2bl w:val="nil"/>
            </w:tcBorders>
            <w:vAlign w:val="center"/>
          </w:tcPr>
          <w:p w14:paraId="4C34506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早产儿护理</w:t>
            </w:r>
          </w:p>
        </w:tc>
        <w:tc>
          <w:tcPr>
            <w:tcW w:w="1883" w:type="dxa"/>
            <w:tcBorders>
              <w:tl2br w:val="nil"/>
              <w:tr2bl w:val="nil"/>
            </w:tcBorders>
            <w:vAlign w:val="center"/>
          </w:tcPr>
          <w:p w14:paraId="0FAE8F56">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指对出生时胎龄小于37周，纠正胎龄至44周的早产儿进行的相关护理。</w:t>
            </w:r>
          </w:p>
        </w:tc>
        <w:tc>
          <w:tcPr>
            <w:tcW w:w="2549" w:type="dxa"/>
            <w:tcBorders>
              <w:tl2br w:val="nil"/>
              <w:tr2bl w:val="nil"/>
            </w:tcBorders>
            <w:vAlign w:val="center"/>
          </w:tcPr>
          <w:p w14:paraId="2D0F3CF2">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评估病情、核对医嘱、胎龄，监护呼吸、体温、心率变化及各器官功能的成熟情况、体位管理、喂养、更换尿布、臀部护理、脐部残端护理、肛管排气、口腔护理、皮肤护理、会阴护理、肛周护理等所需的人力资源和基本物质资源消耗。不含其他专项护理。</w:t>
            </w:r>
          </w:p>
        </w:tc>
        <w:tc>
          <w:tcPr>
            <w:tcW w:w="427" w:type="dxa"/>
            <w:tcBorders>
              <w:tl2br w:val="nil"/>
              <w:tr2bl w:val="nil"/>
            </w:tcBorders>
            <w:vAlign w:val="center"/>
          </w:tcPr>
          <w:p w14:paraId="6D6A23D1">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53F67E94">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3A855CC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14E15CC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不与分级护理、重症监护护理同时收取。</w:t>
            </w:r>
          </w:p>
        </w:tc>
        <w:tc>
          <w:tcPr>
            <w:tcW w:w="830" w:type="dxa"/>
            <w:gridSpan w:val="2"/>
            <w:tcBorders>
              <w:tl2br w:val="nil"/>
              <w:tr2bl w:val="nil"/>
            </w:tcBorders>
            <w:vAlign w:val="center"/>
          </w:tcPr>
          <w:p w14:paraId="58DA161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89</w:t>
            </w:r>
          </w:p>
        </w:tc>
        <w:tc>
          <w:tcPr>
            <w:tcW w:w="830" w:type="dxa"/>
            <w:gridSpan w:val="2"/>
            <w:tcBorders>
              <w:tl2br w:val="nil"/>
              <w:tr2bl w:val="nil"/>
            </w:tcBorders>
            <w:vAlign w:val="center"/>
          </w:tcPr>
          <w:p w14:paraId="6429691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82</w:t>
            </w:r>
          </w:p>
        </w:tc>
        <w:tc>
          <w:tcPr>
            <w:tcW w:w="830" w:type="dxa"/>
            <w:gridSpan w:val="2"/>
            <w:tcBorders>
              <w:tl2br w:val="nil"/>
              <w:tr2bl w:val="nil"/>
            </w:tcBorders>
            <w:vAlign w:val="center"/>
          </w:tcPr>
          <w:p w14:paraId="6E4AFDD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74</w:t>
            </w:r>
          </w:p>
        </w:tc>
        <w:tc>
          <w:tcPr>
            <w:tcW w:w="830" w:type="dxa"/>
            <w:gridSpan w:val="2"/>
            <w:tcBorders>
              <w:tl2br w:val="nil"/>
              <w:tr2bl w:val="nil"/>
            </w:tcBorders>
            <w:vAlign w:val="center"/>
          </w:tcPr>
          <w:p w14:paraId="0DEFDCD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70</w:t>
            </w:r>
          </w:p>
        </w:tc>
        <w:tc>
          <w:tcPr>
            <w:tcW w:w="836" w:type="dxa"/>
            <w:tcBorders>
              <w:tl2br w:val="nil"/>
              <w:tr2bl w:val="nil"/>
            </w:tcBorders>
            <w:vAlign w:val="center"/>
          </w:tcPr>
          <w:p w14:paraId="62029E8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67</w:t>
            </w:r>
          </w:p>
        </w:tc>
        <w:tc>
          <w:tcPr>
            <w:tcW w:w="564" w:type="dxa"/>
            <w:tcBorders>
              <w:tl2br w:val="nil"/>
              <w:tr2bl w:val="nil"/>
            </w:tcBorders>
            <w:vAlign w:val="center"/>
          </w:tcPr>
          <w:p w14:paraId="49BFC20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5BB0FE7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14860" w:type="dxa"/>
            <w:gridSpan w:val="19"/>
            <w:tcBorders>
              <w:tl2br w:val="nil"/>
              <w:tr2bl w:val="nil"/>
            </w:tcBorders>
            <w:vAlign w:val="center"/>
          </w:tcPr>
          <w:p w14:paraId="30A0658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方正黑体_GBK" w:hAnsi="方正黑体_GBK" w:eastAsia="方正黑体_GBK" w:cs="方正黑体_GBK"/>
                <w:i w:val="0"/>
                <w:iCs w:val="0"/>
                <w:color w:val="auto"/>
                <w:kern w:val="0"/>
                <w:sz w:val="17"/>
                <w:szCs w:val="17"/>
                <w:u w:val="none"/>
                <w:lang w:val="en-US" w:eastAsia="zh-CN" w:bidi="ar"/>
              </w:rPr>
            </w:pPr>
            <w:r>
              <w:rPr>
                <w:rFonts w:hint="default" w:ascii="方正黑体_GBK" w:hAnsi="方正黑体_GBK" w:eastAsia="方正黑体_GBK" w:cs="方正黑体_GBK"/>
                <w:i w:val="0"/>
                <w:iCs w:val="0"/>
                <w:color w:val="auto"/>
                <w:kern w:val="0"/>
                <w:sz w:val="17"/>
                <w:szCs w:val="17"/>
                <w:u w:val="none"/>
                <w:lang w:val="en-US" w:eastAsia="zh-CN" w:bidi="ar"/>
              </w:rPr>
              <w:t>专项护理</w:t>
            </w:r>
          </w:p>
        </w:tc>
      </w:tr>
      <w:tr w14:paraId="5DEF3D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1A91989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12</w:t>
            </w:r>
          </w:p>
        </w:tc>
        <w:tc>
          <w:tcPr>
            <w:tcW w:w="847" w:type="dxa"/>
            <w:tcBorders>
              <w:tl2br w:val="nil"/>
              <w:tr2bl w:val="nil"/>
            </w:tcBorders>
            <w:vAlign w:val="center"/>
          </w:tcPr>
          <w:p w14:paraId="0AA69ED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011303000010000</w:t>
            </w:r>
          </w:p>
        </w:tc>
        <w:tc>
          <w:tcPr>
            <w:tcW w:w="902" w:type="dxa"/>
            <w:tcBorders>
              <w:tl2br w:val="nil"/>
              <w:tr2bl w:val="nil"/>
            </w:tcBorders>
            <w:vAlign w:val="center"/>
          </w:tcPr>
          <w:p w14:paraId="374D282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口腔护理</w:t>
            </w:r>
          </w:p>
        </w:tc>
        <w:tc>
          <w:tcPr>
            <w:tcW w:w="1883" w:type="dxa"/>
            <w:tcBorders>
              <w:tl2br w:val="nil"/>
              <w:tr2bl w:val="nil"/>
            </w:tcBorders>
            <w:vAlign w:val="center"/>
          </w:tcPr>
          <w:p w14:paraId="27D90DD7">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指为高热、鼻饲、不能经口进食、人工气道等患者进行的口腔清洁护理。</w:t>
            </w:r>
          </w:p>
        </w:tc>
        <w:tc>
          <w:tcPr>
            <w:tcW w:w="2549" w:type="dxa"/>
            <w:tcBorders>
              <w:tl2br w:val="nil"/>
              <w:tr2bl w:val="nil"/>
            </w:tcBorders>
            <w:vAlign w:val="center"/>
          </w:tcPr>
          <w:p w14:paraId="44044361">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所定价格涵盖评估病情、核对信息、检查口腔、按口腔护理操作流程清洁口腔、观察生命体征、给予健康宣教及心理护理等所需的人力资源和基本物质资源消耗。</w:t>
            </w:r>
          </w:p>
        </w:tc>
        <w:tc>
          <w:tcPr>
            <w:tcW w:w="427" w:type="dxa"/>
            <w:tcBorders>
              <w:tl2br w:val="nil"/>
              <w:tr2bl w:val="nil"/>
            </w:tcBorders>
            <w:vAlign w:val="center"/>
          </w:tcPr>
          <w:p w14:paraId="361FB368">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529E4157">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2820510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次</w:t>
            </w:r>
          </w:p>
        </w:tc>
        <w:tc>
          <w:tcPr>
            <w:tcW w:w="2170" w:type="dxa"/>
            <w:tcBorders>
              <w:tl2br w:val="nil"/>
              <w:tr2bl w:val="nil"/>
            </w:tcBorders>
            <w:vAlign w:val="center"/>
          </w:tcPr>
          <w:p w14:paraId="1405354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已包含在特级护理、Ⅰ级护理及重症监护护理价格构成中，不得重复收取此项收费；在为患者提供Ⅱ级护理、Ⅲ级护理，且同时提供上述三项专项护理的，可按“次”据实收费。</w:t>
            </w:r>
          </w:p>
        </w:tc>
        <w:tc>
          <w:tcPr>
            <w:tcW w:w="830" w:type="dxa"/>
            <w:gridSpan w:val="2"/>
            <w:tcBorders>
              <w:tl2br w:val="nil"/>
              <w:tr2bl w:val="nil"/>
            </w:tcBorders>
            <w:vAlign w:val="center"/>
          </w:tcPr>
          <w:p w14:paraId="7DC4A61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8 </w:t>
            </w:r>
          </w:p>
        </w:tc>
        <w:tc>
          <w:tcPr>
            <w:tcW w:w="830" w:type="dxa"/>
            <w:gridSpan w:val="2"/>
            <w:tcBorders>
              <w:tl2br w:val="nil"/>
              <w:tr2bl w:val="nil"/>
            </w:tcBorders>
            <w:vAlign w:val="center"/>
          </w:tcPr>
          <w:p w14:paraId="5881DF6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7 </w:t>
            </w:r>
          </w:p>
        </w:tc>
        <w:tc>
          <w:tcPr>
            <w:tcW w:w="830" w:type="dxa"/>
            <w:gridSpan w:val="2"/>
            <w:tcBorders>
              <w:tl2br w:val="nil"/>
              <w:tr2bl w:val="nil"/>
            </w:tcBorders>
            <w:vAlign w:val="center"/>
          </w:tcPr>
          <w:p w14:paraId="7E4F489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0" w:type="dxa"/>
            <w:gridSpan w:val="2"/>
            <w:tcBorders>
              <w:tl2br w:val="nil"/>
              <w:tr2bl w:val="nil"/>
            </w:tcBorders>
            <w:vAlign w:val="center"/>
          </w:tcPr>
          <w:p w14:paraId="2616DA7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6" w:type="dxa"/>
            <w:tcBorders>
              <w:tl2br w:val="nil"/>
              <w:tr2bl w:val="nil"/>
            </w:tcBorders>
            <w:vAlign w:val="center"/>
          </w:tcPr>
          <w:p w14:paraId="2D103AB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5.1 </w:t>
            </w:r>
          </w:p>
        </w:tc>
        <w:tc>
          <w:tcPr>
            <w:tcW w:w="564" w:type="dxa"/>
            <w:tcBorders>
              <w:tl2br w:val="nil"/>
              <w:tr2bl w:val="nil"/>
            </w:tcBorders>
            <w:vAlign w:val="center"/>
          </w:tcPr>
          <w:p w14:paraId="00863C0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6FA9119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679CB46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13</w:t>
            </w:r>
          </w:p>
        </w:tc>
        <w:tc>
          <w:tcPr>
            <w:tcW w:w="847" w:type="dxa"/>
            <w:tcBorders>
              <w:tl2br w:val="nil"/>
              <w:tr2bl w:val="nil"/>
            </w:tcBorders>
            <w:vAlign w:val="center"/>
          </w:tcPr>
          <w:p w14:paraId="58AA56A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011303000020000</w:t>
            </w:r>
          </w:p>
        </w:tc>
        <w:tc>
          <w:tcPr>
            <w:tcW w:w="902" w:type="dxa"/>
            <w:tcBorders>
              <w:tl2br w:val="nil"/>
              <w:tr2bl w:val="nil"/>
            </w:tcBorders>
            <w:vAlign w:val="center"/>
          </w:tcPr>
          <w:p w14:paraId="7D09F0C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会阴护理</w:t>
            </w:r>
          </w:p>
        </w:tc>
        <w:tc>
          <w:tcPr>
            <w:tcW w:w="1883" w:type="dxa"/>
            <w:tcBorders>
              <w:tl2br w:val="nil"/>
              <w:tr2bl w:val="nil"/>
            </w:tcBorders>
            <w:vAlign w:val="center"/>
          </w:tcPr>
          <w:p w14:paraId="3C9B580D">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指为泌尿生殖系统感染、大小便失禁、会阴部皮肤破损、留置导尿、产后及各种会阴部术后的患者进行的会阴清洁护理。</w:t>
            </w:r>
          </w:p>
        </w:tc>
        <w:tc>
          <w:tcPr>
            <w:tcW w:w="2549" w:type="dxa"/>
            <w:tcBorders>
              <w:tl2br w:val="nil"/>
              <w:tr2bl w:val="nil"/>
            </w:tcBorders>
            <w:vAlign w:val="center"/>
          </w:tcPr>
          <w:p w14:paraId="07F818DB">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所定价格涵盖评估病情、核对信息、排空膀胱、擦洗或冲洗会阴、尿管，处理用物，给予做好健康教育及心理护理等所需的人力资源和基本物质资源消耗。</w:t>
            </w:r>
          </w:p>
        </w:tc>
        <w:tc>
          <w:tcPr>
            <w:tcW w:w="427" w:type="dxa"/>
            <w:tcBorders>
              <w:tl2br w:val="nil"/>
              <w:tr2bl w:val="nil"/>
            </w:tcBorders>
            <w:vAlign w:val="center"/>
          </w:tcPr>
          <w:p w14:paraId="21F4D8B4">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3C36464B">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205B544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次</w:t>
            </w:r>
          </w:p>
        </w:tc>
        <w:tc>
          <w:tcPr>
            <w:tcW w:w="2170" w:type="dxa"/>
            <w:tcBorders>
              <w:tl2br w:val="nil"/>
              <w:tr2bl w:val="nil"/>
            </w:tcBorders>
            <w:vAlign w:val="center"/>
          </w:tcPr>
          <w:p w14:paraId="68102E7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已包含在特级护理、Ⅰ级护理及重症监护护理价格构成中，不得重复收取此项收费；在为患者提供Ⅱ级护理、Ⅲ级护理，且同时提供上述三项专项护理的，可按“次”据实收费。</w:t>
            </w:r>
          </w:p>
        </w:tc>
        <w:tc>
          <w:tcPr>
            <w:tcW w:w="830" w:type="dxa"/>
            <w:gridSpan w:val="2"/>
            <w:tcBorders>
              <w:tl2br w:val="nil"/>
              <w:tr2bl w:val="nil"/>
            </w:tcBorders>
            <w:vAlign w:val="center"/>
          </w:tcPr>
          <w:p w14:paraId="7DFE944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8 </w:t>
            </w:r>
          </w:p>
        </w:tc>
        <w:tc>
          <w:tcPr>
            <w:tcW w:w="830" w:type="dxa"/>
            <w:gridSpan w:val="2"/>
            <w:tcBorders>
              <w:tl2br w:val="nil"/>
              <w:tr2bl w:val="nil"/>
            </w:tcBorders>
            <w:vAlign w:val="center"/>
          </w:tcPr>
          <w:p w14:paraId="3D708E2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7 </w:t>
            </w:r>
          </w:p>
        </w:tc>
        <w:tc>
          <w:tcPr>
            <w:tcW w:w="830" w:type="dxa"/>
            <w:gridSpan w:val="2"/>
            <w:tcBorders>
              <w:tl2br w:val="nil"/>
              <w:tr2bl w:val="nil"/>
            </w:tcBorders>
            <w:vAlign w:val="center"/>
          </w:tcPr>
          <w:p w14:paraId="78E5724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0" w:type="dxa"/>
            <w:gridSpan w:val="2"/>
            <w:tcBorders>
              <w:tl2br w:val="nil"/>
              <w:tr2bl w:val="nil"/>
            </w:tcBorders>
            <w:vAlign w:val="center"/>
          </w:tcPr>
          <w:p w14:paraId="499048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6" w:type="dxa"/>
            <w:tcBorders>
              <w:tl2br w:val="nil"/>
              <w:tr2bl w:val="nil"/>
            </w:tcBorders>
            <w:vAlign w:val="center"/>
          </w:tcPr>
          <w:p w14:paraId="4ABCB4A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5.1 </w:t>
            </w:r>
          </w:p>
        </w:tc>
        <w:tc>
          <w:tcPr>
            <w:tcW w:w="564" w:type="dxa"/>
            <w:tcBorders>
              <w:tl2br w:val="nil"/>
              <w:tr2bl w:val="nil"/>
            </w:tcBorders>
            <w:vAlign w:val="center"/>
          </w:tcPr>
          <w:p w14:paraId="7F21642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2069FCC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69877AB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14</w:t>
            </w:r>
          </w:p>
        </w:tc>
        <w:tc>
          <w:tcPr>
            <w:tcW w:w="847" w:type="dxa"/>
            <w:tcBorders>
              <w:tl2br w:val="nil"/>
              <w:tr2bl w:val="nil"/>
            </w:tcBorders>
            <w:vAlign w:val="center"/>
          </w:tcPr>
          <w:p w14:paraId="1EE1F7F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011303000030000</w:t>
            </w:r>
          </w:p>
        </w:tc>
        <w:tc>
          <w:tcPr>
            <w:tcW w:w="902" w:type="dxa"/>
            <w:tcBorders>
              <w:tl2br w:val="nil"/>
              <w:tr2bl w:val="nil"/>
            </w:tcBorders>
            <w:vAlign w:val="center"/>
          </w:tcPr>
          <w:p w14:paraId="74D26EC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肛周护理</w:t>
            </w:r>
          </w:p>
        </w:tc>
        <w:tc>
          <w:tcPr>
            <w:tcW w:w="1883" w:type="dxa"/>
            <w:tcBorders>
              <w:tl2br w:val="nil"/>
              <w:tr2bl w:val="nil"/>
            </w:tcBorders>
            <w:vAlign w:val="center"/>
          </w:tcPr>
          <w:p w14:paraId="7595B936">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指为肛周脓肿、大便失禁等患者进行的肛周护理。</w:t>
            </w:r>
          </w:p>
        </w:tc>
        <w:tc>
          <w:tcPr>
            <w:tcW w:w="2549" w:type="dxa"/>
            <w:tcBorders>
              <w:tl2br w:val="nil"/>
              <w:tr2bl w:val="nil"/>
            </w:tcBorders>
            <w:vAlign w:val="center"/>
          </w:tcPr>
          <w:p w14:paraId="11DDF49F">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所定价格涵盖核对信息、准备、观察肛周皮肤黏膜、清洁，涂药或湿敷等所需的人力资源和基本物质资源消耗。</w:t>
            </w:r>
          </w:p>
        </w:tc>
        <w:tc>
          <w:tcPr>
            <w:tcW w:w="427" w:type="dxa"/>
            <w:tcBorders>
              <w:tl2br w:val="nil"/>
              <w:tr2bl w:val="nil"/>
            </w:tcBorders>
            <w:vAlign w:val="center"/>
          </w:tcPr>
          <w:p w14:paraId="0A38915E">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6D28A951">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06CFBF35">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次</w:t>
            </w:r>
          </w:p>
        </w:tc>
        <w:tc>
          <w:tcPr>
            <w:tcW w:w="2170" w:type="dxa"/>
            <w:tcBorders>
              <w:tl2br w:val="nil"/>
              <w:tr2bl w:val="nil"/>
            </w:tcBorders>
            <w:vAlign w:val="center"/>
          </w:tcPr>
          <w:p w14:paraId="670835B7">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已包含在特级护理、Ⅰ级护理及重症监护护理价格构成中，不得重复收取此项收费；在为患者提供Ⅱ级护理、Ⅲ级护理，且同时提供上述三项专项护理的，可按“次”据实收费。</w:t>
            </w:r>
          </w:p>
        </w:tc>
        <w:tc>
          <w:tcPr>
            <w:tcW w:w="830" w:type="dxa"/>
            <w:gridSpan w:val="2"/>
            <w:tcBorders>
              <w:tl2br w:val="nil"/>
              <w:tr2bl w:val="nil"/>
            </w:tcBorders>
            <w:vAlign w:val="center"/>
          </w:tcPr>
          <w:p w14:paraId="3314F9B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8 </w:t>
            </w:r>
          </w:p>
        </w:tc>
        <w:tc>
          <w:tcPr>
            <w:tcW w:w="830" w:type="dxa"/>
            <w:gridSpan w:val="2"/>
            <w:tcBorders>
              <w:tl2br w:val="nil"/>
              <w:tr2bl w:val="nil"/>
            </w:tcBorders>
            <w:vAlign w:val="center"/>
          </w:tcPr>
          <w:p w14:paraId="3C729CC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7 </w:t>
            </w:r>
          </w:p>
        </w:tc>
        <w:tc>
          <w:tcPr>
            <w:tcW w:w="830" w:type="dxa"/>
            <w:gridSpan w:val="2"/>
            <w:tcBorders>
              <w:tl2br w:val="nil"/>
              <w:tr2bl w:val="nil"/>
            </w:tcBorders>
            <w:vAlign w:val="center"/>
          </w:tcPr>
          <w:p w14:paraId="1C1DF86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0" w:type="dxa"/>
            <w:gridSpan w:val="2"/>
            <w:tcBorders>
              <w:tl2br w:val="nil"/>
              <w:tr2bl w:val="nil"/>
            </w:tcBorders>
            <w:vAlign w:val="center"/>
          </w:tcPr>
          <w:p w14:paraId="32D480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6" w:type="dxa"/>
            <w:tcBorders>
              <w:tl2br w:val="nil"/>
              <w:tr2bl w:val="nil"/>
            </w:tcBorders>
            <w:vAlign w:val="center"/>
          </w:tcPr>
          <w:p w14:paraId="29C7DFE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5.1 </w:t>
            </w:r>
          </w:p>
        </w:tc>
        <w:tc>
          <w:tcPr>
            <w:tcW w:w="564" w:type="dxa"/>
            <w:tcBorders>
              <w:tl2br w:val="nil"/>
              <w:tr2bl w:val="nil"/>
            </w:tcBorders>
            <w:vAlign w:val="center"/>
          </w:tcPr>
          <w:p w14:paraId="3EA9B11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6EE63E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1B5DBC0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15</w:t>
            </w:r>
          </w:p>
        </w:tc>
        <w:tc>
          <w:tcPr>
            <w:tcW w:w="847" w:type="dxa"/>
            <w:tcBorders>
              <w:tl2br w:val="nil"/>
              <w:tr2bl w:val="nil"/>
            </w:tcBorders>
            <w:vAlign w:val="center"/>
          </w:tcPr>
          <w:p w14:paraId="048B29E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011303000040000</w:t>
            </w:r>
          </w:p>
        </w:tc>
        <w:tc>
          <w:tcPr>
            <w:tcW w:w="902" w:type="dxa"/>
            <w:tcBorders>
              <w:tl2br w:val="nil"/>
              <w:tr2bl w:val="nil"/>
            </w:tcBorders>
            <w:vAlign w:val="center"/>
          </w:tcPr>
          <w:p w14:paraId="421B07C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置管护理</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（深静脉/动脉）</w:t>
            </w:r>
          </w:p>
        </w:tc>
        <w:tc>
          <w:tcPr>
            <w:tcW w:w="1883" w:type="dxa"/>
            <w:tcBorders>
              <w:tl2br w:val="nil"/>
              <w:tr2bl w:val="nil"/>
            </w:tcBorders>
            <w:vAlign w:val="center"/>
          </w:tcPr>
          <w:p w14:paraId="2CC51A2E">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对深静脉置管/动脉置管管路实施维护，使管路维持正常功能。</w:t>
            </w:r>
          </w:p>
        </w:tc>
        <w:tc>
          <w:tcPr>
            <w:tcW w:w="2549" w:type="dxa"/>
            <w:tcBorders>
              <w:tl2br w:val="nil"/>
              <w:tr2bl w:val="nil"/>
            </w:tcBorders>
            <w:vAlign w:val="center"/>
          </w:tcPr>
          <w:p w14:paraId="6D75D2D2">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所定价格涵盖导管状态评估、管路疏通、封管，必要时更换输液接头等所需的人力资源和基本物质资源消耗。不含创口换药。</w:t>
            </w:r>
          </w:p>
        </w:tc>
        <w:tc>
          <w:tcPr>
            <w:tcW w:w="427" w:type="dxa"/>
            <w:tcBorders>
              <w:tl2br w:val="nil"/>
              <w:tr2bl w:val="nil"/>
            </w:tcBorders>
            <w:vAlign w:val="center"/>
          </w:tcPr>
          <w:p w14:paraId="1E732E36">
            <w:pPr>
              <w:keepNext w:val="0"/>
              <w:keepLines w:val="0"/>
              <w:pageBreakBefore w:val="0"/>
              <w:widowControl/>
              <w:kinsoku/>
              <w:wordWrap/>
              <w:overflowPunct/>
              <w:topLinePunct w:val="0"/>
              <w:autoSpaceDE/>
              <w:autoSpaceDN/>
              <w:bidi w:val="0"/>
              <w:adjustRightInd/>
              <w:snapToGrid/>
              <w:spacing w:line="210" w:lineRule="exact"/>
              <w:jc w:val="center"/>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2A523CDE">
            <w:pPr>
              <w:keepNext w:val="0"/>
              <w:keepLines w:val="0"/>
              <w:pageBreakBefore w:val="0"/>
              <w:widowControl/>
              <w:kinsoku/>
              <w:wordWrap/>
              <w:overflowPunct/>
              <w:topLinePunct w:val="0"/>
              <w:autoSpaceDE/>
              <w:autoSpaceDN/>
              <w:bidi w:val="0"/>
              <w:adjustRightInd/>
              <w:snapToGrid/>
              <w:spacing w:line="210" w:lineRule="exact"/>
              <w:jc w:val="center"/>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39AF2B7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管·日</w:t>
            </w:r>
          </w:p>
        </w:tc>
        <w:tc>
          <w:tcPr>
            <w:tcW w:w="2170" w:type="dxa"/>
            <w:tcBorders>
              <w:tl2br w:val="nil"/>
              <w:tr2bl w:val="nil"/>
            </w:tcBorders>
            <w:vAlign w:val="center"/>
          </w:tcPr>
          <w:p w14:paraId="49FB9504">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1.深静脉置管包括中心静脉导管(CVC)、经外周静脉置入的中心静脉导管(PICC)、输液港(PORT）等。</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2.外周静脉置管护理含在注射费价格构成中，不单独计费。</w:t>
            </w:r>
          </w:p>
        </w:tc>
        <w:tc>
          <w:tcPr>
            <w:tcW w:w="830" w:type="dxa"/>
            <w:gridSpan w:val="2"/>
            <w:tcBorders>
              <w:tl2br w:val="nil"/>
              <w:tr2bl w:val="nil"/>
            </w:tcBorders>
            <w:vAlign w:val="center"/>
          </w:tcPr>
          <w:p w14:paraId="1F3F1A2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0" w:type="dxa"/>
            <w:gridSpan w:val="2"/>
            <w:tcBorders>
              <w:tl2br w:val="nil"/>
              <w:tr2bl w:val="nil"/>
            </w:tcBorders>
            <w:vAlign w:val="center"/>
          </w:tcPr>
          <w:p w14:paraId="6E087FA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6 </w:t>
            </w:r>
          </w:p>
        </w:tc>
        <w:tc>
          <w:tcPr>
            <w:tcW w:w="830" w:type="dxa"/>
            <w:gridSpan w:val="2"/>
            <w:tcBorders>
              <w:tl2br w:val="nil"/>
              <w:tr2bl w:val="nil"/>
            </w:tcBorders>
            <w:vAlign w:val="center"/>
          </w:tcPr>
          <w:p w14:paraId="3D9AC29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5 </w:t>
            </w:r>
          </w:p>
        </w:tc>
        <w:tc>
          <w:tcPr>
            <w:tcW w:w="830" w:type="dxa"/>
            <w:gridSpan w:val="2"/>
            <w:tcBorders>
              <w:tl2br w:val="nil"/>
              <w:tr2bl w:val="nil"/>
            </w:tcBorders>
            <w:vAlign w:val="center"/>
          </w:tcPr>
          <w:p w14:paraId="32BE781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 </w:t>
            </w:r>
          </w:p>
        </w:tc>
        <w:tc>
          <w:tcPr>
            <w:tcW w:w="836" w:type="dxa"/>
            <w:tcBorders>
              <w:tl2br w:val="nil"/>
              <w:tr2bl w:val="nil"/>
            </w:tcBorders>
            <w:vAlign w:val="center"/>
          </w:tcPr>
          <w:p w14:paraId="0C20521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3.4 </w:t>
            </w:r>
          </w:p>
        </w:tc>
        <w:tc>
          <w:tcPr>
            <w:tcW w:w="564" w:type="dxa"/>
            <w:tcBorders>
              <w:tl2br w:val="nil"/>
              <w:tr2bl w:val="nil"/>
            </w:tcBorders>
            <w:vAlign w:val="center"/>
          </w:tcPr>
          <w:p w14:paraId="206EA93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69741C3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005B8F5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16</w:t>
            </w:r>
          </w:p>
        </w:tc>
        <w:tc>
          <w:tcPr>
            <w:tcW w:w="847" w:type="dxa"/>
            <w:tcBorders>
              <w:tl2br w:val="nil"/>
              <w:tr2bl w:val="nil"/>
            </w:tcBorders>
            <w:vAlign w:val="center"/>
          </w:tcPr>
          <w:p w14:paraId="2D57105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011303000050000</w:t>
            </w:r>
          </w:p>
        </w:tc>
        <w:tc>
          <w:tcPr>
            <w:tcW w:w="902" w:type="dxa"/>
            <w:tcBorders>
              <w:tl2br w:val="nil"/>
              <w:tr2bl w:val="nil"/>
            </w:tcBorders>
            <w:vAlign w:val="center"/>
          </w:tcPr>
          <w:p w14:paraId="47AD32F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气管插管护理</w:t>
            </w:r>
          </w:p>
        </w:tc>
        <w:tc>
          <w:tcPr>
            <w:tcW w:w="1883" w:type="dxa"/>
            <w:tcBorders>
              <w:tl2br w:val="nil"/>
              <w:tr2bl w:val="nil"/>
            </w:tcBorders>
            <w:vAlign w:val="center"/>
          </w:tcPr>
          <w:p w14:paraId="1D39871D">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对气管插管实施维护，维持正常通气功能。</w:t>
            </w:r>
          </w:p>
        </w:tc>
        <w:tc>
          <w:tcPr>
            <w:tcW w:w="2549" w:type="dxa"/>
            <w:tcBorders>
              <w:tl2br w:val="nil"/>
              <w:tr2bl w:val="nil"/>
            </w:tcBorders>
            <w:vAlign w:val="center"/>
          </w:tcPr>
          <w:p w14:paraId="3602E62E">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监测并记录导管深度与气囊压力、气道给药及气囊管理、清理导管污物、更换牙垫及固定物，必要时行撤机拔管前评估（含人工气囊压力测定及连续测定、自主呼吸试验、气囊漏气试验、咳嗽风流速试验）等所需的人力资源和基本物质资源消耗。不含吸痰。</w:t>
            </w:r>
          </w:p>
        </w:tc>
        <w:tc>
          <w:tcPr>
            <w:tcW w:w="427" w:type="dxa"/>
            <w:tcBorders>
              <w:tl2br w:val="nil"/>
              <w:tr2bl w:val="nil"/>
            </w:tcBorders>
            <w:vAlign w:val="center"/>
          </w:tcPr>
          <w:p w14:paraId="0EA86E70">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07D9946D">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7D879E47">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5293A404">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74ECEFD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31.20 </w:t>
            </w:r>
          </w:p>
        </w:tc>
        <w:tc>
          <w:tcPr>
            <w:tcW w:w="830" w:type="dxa"/>
            <w:gridSpan w:val="2"/>
            <w:tcBorders>
              <w:tl2br w:val="nil"/>
              <w:tr2bl w:val="nil"/>
            </w:tcBorders>
            <w:vAlign w:val="center"/>
          </w:tcPr>
          <w:p w14:paraId="486BD56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27 </w:t>
            </w:r>
          </w:p>
        </w:tc>
        <w:tc>
          <w:tcPr>
            <w:tcW w:w="830" w:type="dxa"/>
            <w:gridSpan w:val="2"/>
            <w:tcBorders>
              <w:tl2br w:val="nil"/>
              <w:tr2bl w:val="nil"/>
            </w:tcBorders>
            <w:vAlign w:val="center"/>
          </w:tcPr>
          <w:p w14:paraId="7E21521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26 </w:t>
            </w:r>
          </w:p>
        </w:tc>
        <w:tc>
          <w:tcPr>
            <w:tcW w:w="830" w:type="dxa"/>
            <w:gridSpan w:val="2"/>
            <w:tcBorders>
              <w:tl2br w:val="nil"/>
              <w:tr2bl w:val="nil"/>
            </w:tcBorders>
            <w:vAlign w:val="center"/>
          </w:tcPr>
          <w:p w14:paraId="73A63F3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25 </w:t>
            </w:r>
          </w:p>
        </w:tc>
        <w:tc>
          <w:tcPr>
            <w:tcW w:w="836" w:type="dxa"/>
            <w:tcBorders>
              <w:tl2br w:val="nil"/>
              <w:tr2bl w:val="nil"/>
            </w:tcBorders>
            <w:vAlign w:val="center"/>
          </w:tcPr>
          <w:p w14:paraId="65771AE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21.25 </w:t>
            </w:r>
          </w:p>
        </w:tc>
        <w:tc>
          <w:tcPr>
            <w:tcW w:w="564" w:type="dxa"/>
            <w:tcBorders>
              <w:tl2br w:val="nil"/>
              <w:tr2bl w:val="nil"/>
            </w:tcBorders>
            <w:vAlign w:val="center"/>
          </w:tcPr>
          <w:p w14:paraId="7001416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18CDD58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39A7976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17</w:t>
            </w:r>
          </w:p>
        </w:tc>
        <w:tc>
          <w:tcPr>
            <w:tcW w:w="847" w:type="dxa"/>
            <w:tcBorders>
              <w:tl2br w:val="nil"/>
              <w:tr2bl w:val="nil"/>
            </w:tcBorders>
            <w:vAlign w:val="center"/>
          </w:tcPr>
          <w:p w14:paraId="2DA06B4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011303000060000</w:t>
            </w:r>
          </w:p>
        </w:tc>
        <w:tc>
          <w:tcPr>
            <w:tcW w:w="902" w:type="dxa"/>
            <w:tcBorders>
              <w:tl2br w:val="nil"/>
              <w:tr2bl w:val="nil"/>
            </w:tcBorders>
            <w:vAlign w:val="center"/>
          </w:tcPr>
          <w:p w14:paraId="709E118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气管切开护理</w:t>
            </w:r>
          </w:p>
        </w:tc>
        <w:tc>
          <w:tcPr>
            <w:tcW w:w="1883" w:type="dxa"/>
            <w:tcBorders>
              <w:tl2br w:val="nil"/>
              <w:tr2bl w:val="nil"/>
            </w:tcBorders>
            <w:vAlign w:val="center"/>
          </w:tcPr>
          <w:p w14:paraId="487358BE">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对气管切开套管（含经皮气切插管）实施维护，维持正常通气功能。</w:t>
            </w:r>
          </w:p>
        </w:tc>
        <w:tc>
          <w:tcPr>
            <w:tcW w:w="2549" w:type="dxa"/>
            <w:tcBorders>
              <w:tl2br w:val="nil"/>
              <w:tr2bl w:val="nil"/>
            </w:tcBorders>
            <w:vAlign w:val="center"/>
          </w:tcPr>
          <w:p w14:paraId="03B58A91">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所定价格涵盖观察气切周围皮肤、套管取出清洁并消毒或更换套管、更换敷料及固定物，必要时行气道给药等所需的人力资源和基本物质资源消耗。不含吸痰。</w:t>
            </w:r>
          </w:p>
        </w:tc>
        <w:tc>
          <w:tcPr>
            <w:tcW w:w="427" w:type="dxa"/>
            <w:tcBorders>
              <w:tl2br w:val="nil"/>
              <w:tr2bl w:val="nil"/>
            </w:tcBorders>
            <w:vAlign w:val="center"/>
          </w:tcPr>
          <w:p w14:paraId="0F0E18F7">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2ED3F4D9">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5C362DD2">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18C55A8A">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更换套管是置管的延伸服务，按照医生医嘱更换套管，单独收取耗材费用。</w:t>
            </w:r>
          </w:p>
        </w:tc>
        <w:tc>
          <w:tcPr>
            <w:tcW w:w="830" w:type="dxa"/>
            <w:gridSpan w:val="2"/>
            <w:tcBorders>
              <w:tl2br w:val="nil"/>
              <w:tr2bl w:val="nil"/>
            </w:tcBorders>
            <w:vAlign w:val="center"/>
          </w:tcPr>
          <w:p w14:paraId="6E2BF14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43 </w:t>
            </w:r>
          </w:p>
        </w:tc>
        <w:tc>
          <w:tcPr>
            <w:tcW w:w="830" w:type="dxa"/>
            <w:gridSpan w:val="2"/>
            <w:tcBorders>
              <w:tl2br w:val="nil"/>
              <w:tr2bl w:val="nil"/>
            </w:tcBorders>
            <w:vAlign w:val="center"/>
          </w:tcPr>
          <w:p w14:paraId="0F98FAE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40 </w:t>
            </w:r>
          </w:p>
        </w:tc>
        <w:tc>
          <w:tcPr>
            <w:tcW w:w="830" w:type="dxa"/>
            <w:gridSpan w:val="2"/>
            <w:tcBorders>
              <w:tl2br w:val="nil"/>
              <w:tr2bl w:val="nil"/>
            </w:tcBorders>
            <w:vAlign w:val="center"/>
          </w:tcPr>
          <w:p w14:paraId="455C837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36 </w:t>
            </w:r>
          </w:p>
        </w:tc>
        <w:tc>
          <w:tcPr>
            <w:tcW w:w="830" w:type="dxa"/>
            <w:gridSpan w:val="2"/>
            <w:tcBorders>
              <w:tl2br w:val="nil"/>
              <w:tr2bl w:val="nil"/>
            </w:tcBorders>
            <w:vAlign w:val="center"/>
          </w:tcPr>
          <w:p w14:paraId="7A0F5EF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32 </w:t>
            </w:r>
          </w:p>
        </w:tc>
        <w:tc>
          <w:tcPr>
            <w:tcW w:w="836" w:type="dxa"/>
            <w:tcBorders>
              <w:tl2br w:val="nil"/>
              <w:tr2bl w:val="nil"/>
            </w:tcBorders>
            <w:vAlign w:val="center"/>
          </w:tcPr>
          <w:p w14:paraId="56CFDB0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30 </w:t>
            </w:r>
          </w:p>
        </w:tc>
        <w:tc>
          <w:tcPr>
            <w:tcW w:w="564" w:type="dxa"/>
            <w:tcBorders>
              <w:tl2br w:val="nil"/>
              <w:tr2bl w:val="nil"/>
            </w:tcBorders>
            <w:vAlign w:val="center"/>
          </w:tcPr>
          <w:p w14:paraId="179ABAD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4FEB70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restart"/>
            <w:tcBorders>
              <w:tl2br w:val="nil"/>
              <w:tr2bl w:val="nil"/>
            </w:tcBorders>
            <w:vAlign w:val="center"/>
          </w:tcPr>
          <w:p w14:paraId="220E8F5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18</w:t>
            </w:r>
          </w:p>
        </w:tc>
        <w:tc>
          <w:tcPr>
            <w:tcW w:w="847" w:type="dxa"/>
            <w:tcBorders>
              <w:tl2br w:val="nil"/>
              <w:tr2bl w:val="nil"/>
            </w:tcBorders>
            <w:vAlign w:val="center"/>
          </w:tcPr>
          <w:p w14:paraId="48D0698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011303000070000</w:t>
            </w:r>
          </w:p>
        </w:tc>
        <w:tc>
          <w:tcPr>
            <w:tcW w:w="902" w:type="dxa"/>
            <w:tcBorders>
              <w:tl2br w:val="nil"/>
              <w:tr2bl w:val="nil"/>
            </w:tcBorders>
            <w:vAlign w:val="center"/>
          </w:tcPr>
          <w:p w14:paraId="6877D72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引流管护理</w:t>
            </w:r>
          </w:p>
        </w:tc>
        <w:tc>
          <w:tcPr>
            <w:tcW w:w="1883" w:type="dxa"/>
            <w:tcBorders>
              <w:tl2br w:val="nil"/>
              <w:tr2bl w:val="nil"/>
            </w:tcBorders>
            <w:vAlign w:val="center"/>
          </w:tcPr>
          <w:p w14:paraId="4C8576EF">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对各种引流管路（含尿管、胃肠减压管路等）实施维护，保持引流通畅。</w:t>
            </w:r>
          </w:p>
        </w:tc>
        <w:tc>
          <w:tcPr>
            <w:tcW w:w="2549" w:type="dxa"/>
            <w:tcBorders>
              <w:tl2br w:val="nil"/>
              <w:tr2bl w:val="nil"/>
            </w:tcBorders>
            <w:vAlign w:val="center"/>
          </w:tcPr>
          <w:p w14:paraId="6ED6B8F7">
            <w:pPr>
              <w:keepNext w:val="0"/>
              <w:keepLines w:val="0"/>
              <w:pageBreakBefore w:val="0"/>
              <w:widowControl/>
              <w:suppressLineNumbers w:val="0"/>
              <w:kinsoku/>
              <w:wordWrap/>
              <w:overflowPunct/>
              <w:topLinePunct w:val="0"/>
              <w:autoSpaceDE/>
              <w:autoSpaceDN/>
              <w:bidi w:val="0"/>
              <w:adjustRightInd/>
              <w:snapToGrid/>
              <w:spacing w:line="21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所定价格涵盖观察引流液性状及记量、检查引流管位置并固定、冲洗、更换引流袋等所需的人力资源和基本物质资源消耗。不含创口换药。</w:t>
            </w:r>
          </w:p>
        </w:tc>
        <w:tc>
          <w:tcPr>
            <w:tcW w:w="427" w:type="dxa"/>
            <w:tcBorders>
              <w:tl2br w:val="nil"/>
              <w:tr2bl w:val="nil"/>
            </w:tcBorders>
            <w:vAlign w:val="center"/>
          </w:tcPr>
          <w:p w14:paraId="2340DE6C">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01闭式引流护理</w:t>
            </w:r>
          </w:p>
        </w:tc>
        <w:tc>
          <w:tcPr>
            <w:tcW w:w="427" w:type="dxa"/>
            <w:tcBorders>
              <w:tl2br w:val="nil"/>
              <w:tr2bl w:val="nil"/>
            </w:tcBorders>
            <w:vAlign w:val="center"/>
          </w:tcPr>
          <w:p w14:paraId="71A11515">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5857CEAB">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管·日</w:t>
            </w:r>
          </w:p>
        </w:tc>
        <w:tc>
          <w:tcPr>
            <w:tcW w:w="2170" w:type="dxa"/>
            <w:tcBorders>
              <w:tl2br w:val="nil"/>
              <w:tr2bl w:val="nil"/>
            </w:tcBorders>
            <w:vAlign w:val="center"/>
          </w:tcPr>
          <w:p w14:paraId="140088DD">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33ED960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12 </w:t>
            </w:r>
          </w:p>
        </w:tc>
        <w:tc>
          <w:tcPr>
            <w:tcW w:w="830" w:type="dxa"/>
            <w:gridSpan w:val="2"/>
            <w:tcBorders>
              <w:tl2br w:val="nil"/>
              <w:tr2bl w:val="nil"/>
            </w:tcBorders>
            <w:vAlign w:val="center"/>
          </w:tcPr>
          <w:p w14:paraId="5F68A17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11 </w:t>
            </w:r>
          </w:p>
        </w:tc>
        <w:tc>
          <w:tcPr>
            <w:tcW w:w="830" w:type="dxa"/>
            <w:gridSpan w:val="2"/>
            <w:tcBorders>
              <w:tl2br w:val="nil"/>
              <w:tr2bl w:val="nil"/>
            </w:tcBorders>
            <w:vAlign w:val="center"/>
          </w:tcPr>
          <w:p w14:paraId="5C9B4D5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10 </w:t>
            </w:r>
          </w:p>
        </w:tc>
        <w:tc>
          <w:tcPr>
            <w:tcW w:w="830" w:type="dxa"/>
            <w:gridSpan w:val="2"/>
            <w:tcBorders>
              <w:tl2br w:val="nil"/>
              <w:tr2bl w:val="nil"/>
            </w:tcBorders>
            <w:vAlign w:val="center"/>
          </w:tcPr>
          <w:p w14:paraId="090BD4E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9 </w:t>
            </w:r>
          </w:p>
        </w:tc>
        <w:tc>
          <w:tcPr>
            <w:tcW w:w="836" w:type="dxa"/>
            <w:tcBorders>
              <w:tl2br w:val="nil"/>
              <w:tr2bl w:val="nil"/>
            </w:tcBorders>
            <w:vAlign w:val="center"/>
          </w:tcPr>
          <w:p w14:paraId="45D26F9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7.65 </w:t>
            </w:r>
          </w:p>
        </w:tc>
        <w:tc>
          <w:tcPr>
            <w:tcW w:w="564" w:type="dxa"/>
            <w:tcBorders>
              <w:tl2br w:val="nil"/>
              <w:tr2bl w:val="nil"/>
            </w:tcBorders>
            <w:vAlign w:val="center"/>
          </w:tcPr>
          <w:p w14:paraId="66299237">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3B11DB7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vMerge w:val="continue"/>
            <w:tcBorders>
              <w:tl2br w:val="nil"/>
              <w:tr2bl w:val="nil"/>
            </w:tcBorders>
            <w:vAlign w:val="center"/>
          </w:tcPr>
          <w:p w14:paraId="2E7437C8">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847" w:type="dxa"/>
            <w:tcBorders>
              <w:tl2br w:val="nil"/>
              <w:tr2bl w:val="nil"/>
            </w:tcBorders>
            <w:vAlign w:val="center"/>
          </w:tcPr>
          <w:p w14:paraId="39393D5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011303000070001</w:t>
            </w:r>
          </w:p>
        </w:tc>
        <w:tc>
          <w:tcPr>
            <w:tcW w:w="902" w:type="dxa"/>
            <w:tcBorders>
              <w:tl2br w:val="nil"/>
              <w:tr2bl w:val="nil"/>
            </w:tcBorders>
            <w:vAlign w:val="center"/>
          </w:tcPr>
          <w:p w14:paraId="29748F2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6"/>
                <w:rFonts w:hint="default" w:ascii="Times New Roman" w:hAnsi="Times New Roman" w:eastAsia="宋体" w:cs="Times New Roman"/>
                <w:color w:val="auto"/>
                <w:sz w:val="17"/>
                <w:szCs w:val="17"/>
                <w:lang w:val="en-US" w:eastAsia="zh-CN" w:bidi="ar"/>
              </w:rPr>
              <w:t>引流管护理</w:t>
            </w:r>
            <w:r>
              <w:rPr>
                <w:rStyle w:val="7"/>
                <w:rFonts w:hint="default" w:ascii="Times New Roman" w:hAnsi="Times New Roman" w:eastAsia="宋体" w:cs="Times New Roman"/>
                <w:color w:val="auto"/>
                <w:sz w:val="17"/>
                <w:szCs w:val="17"/>
                <w:lang w:val="en-US" w:eastAsia="zh-CN" w:bidi="ar"/>
              </w:rPr>
              <w:t>--</w:t>
            </w:r>
            <w:r>
              <w:rPr>
                <w:rStyle w:val="6"/>
                <w:rFonts w:hint="default" w:ascii="Times New Roman" w:hAnsi="Times New Roman" w:eastAsia="宋体" w:cs="Times New Roman"/>
                <w:color w:val="auto"/>
                <w:sz w:val="17"/>
                <w:szCs w:val="17"/>
                <w:lang w:val="en-US" w:eastAsia="zh-CN" w:bidi="ar"/>
              </w:rPr>
              <w:t>闭式引流护理（加收）</w:t>
            </w:r>
          </w:p>
        </w:tc>
        <w:tc>
          <w:tcPr>
            <w:tcW w:w="1883" w:type="dxa"/>
            <w:tcBorders>
              <w:tl2br w:val="nil"/>
              <w:tr2bl w:val="nil"/>
            </w:tcBorders>
            <w:vAlign w:val="center"/>
          </w:tcPr>
          <w:p w14:paraId="6F633560">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对各种引流管路（含尿管、胃肠减压管路等）实施维护，保持引流通畅。</w:t>
            </w:r>
          </w:p>
        </w:tc>
        <w:tc>
          <w:tcPr>
            <w:tcW w:w="2549" w:type="dxa"/>
            <w:tcBorders>
              <w:tl2br w:val="nil"/>
              <w:tr2bl w:val="nil"/>
            </w:tcBorders>
            <w:vAlign w:val="center"/>
          </w:tcPr>
          <w:p w14:paraId="13683082">
            <w:pPr>
              <w:keepNext w:val="0"/>
              <w:keepLines w:val="0"/>
              <w:pageBreakBefore w:val="0"/>
              <w:widowControl/>
              <w:suppressLineNumbers w:val="0"/>
              <w:kinsoku/>
              <w:wordWrap/>
              <w:overflowPunct/>
              <w:topLinePunct w:val="0"/>
              <w:autoSpaceDE/>
              <w:autoSpaceDN/>
              <w:bidi w:val="0"/>
              <w:adjustRightInd/>
              <w:snapToGrid/>
              <w:spacing w:line="21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所定价格涵盖观察引流液性状及记量、检查引流管位置并固定、冲洗、更换引流袋等所需的人力资源和基本物质资源消耗。不含创口换药。</w:t>
            </w:r>
          </w:p>
        </w:tc>
        <w:tc>
          <w:tcPr>
            <w:tcW w:w="427" w:type="dxa"/>
            <w:tcBorders>
              <w:tl2br w:val="nil"/>
              <w:tr2bl w:val="nil"/>
            </w:tcBorders>
            <w:vAlign w:val="bottom"/>
          </w:tcPr>
          <w:p w14:paraId="5BCCA673">
            <w:pPr>
              <w:keepNext w:val="0"/>
              <w:keepLines w:val="0"/>
              <w:pageBreakBefore w:val="0"/>
              <w:widowControl/>
              <w:kinsoku/>
              <w:wordWrap/>
              <w:overflowPunct/>
              <w:topLinePunct w:val="0"/>
              <w:autoSpaceDE/>
              <w:autoSpaceDN/>
              <w:bidi w:val="0"/>
              <w:adjustRightInd/>
              <w:snapToGrid/>
              <w:spacing w:line="21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39852A84">
            <w:pPr>
              <w:keepNext w:val="0"/>
              <w:keepLines w:val="0"/>
              <w:pageBreakBefore w:val="0"/>
              <w:widowControl/>
              <w:kinsoku/>
              <w:wordWrap/>
              <w:overflowPunct/>
              <w:topLinePunct w:val="0"/>
              <w:autoSpaceDE/>
              <w:autoSpaceDN/>
              <w:bidi w:val="0"/>
              <w:adjustRightInd/>
              <w:snapToGrid/>
              <w:spacing w:line="210" w:lineRule="exac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3C50453C">
            <w:pPr>
              <w:keepNext w:val="0"/>
              <w:keepLines w:val="0"/>
              <w:pageBreakBefore w:val="0"/>
              <w:widowControl/>
              <w:suppressLineNumbers w:val="0"/>
              <w:kinsoku/>
              <w:wordWrap/>
              <w:overflowPunct/>
              <w:topLinePunct w:val="0"/>
              <w:autoSpaceDE/>
              <w:autoSpaceDN/>
              <w:bidi w:val="0"/>
              <w:adjustRightInd/>
              <w:snapToGrid/>
              <w:spacing w:line="210" w:lineRule="exact"/>
              <w:jc w:val="center"/>
              <w:textAlignment w:val="center"/>
              <w:rPr>
                <w:rFonts w:hint="default" w:ascii="Times New Roman" w:hAnsi="Times New Roman" w:eastAsia="宋体" w:cs="Times New Roman"/>
                <w:i w:val="0"/>
                <w:iCs w:val="0"/>
                <w:color w:val="auto"/>
                <w:sz w:val="17"/>
                <w:szCs w:val="17"/>
                <w:u w:val="none"/>
              </w:rPr>
            </w:pPr>
            <w:r>
              <w:rPr>
                <w:rStyle w:val="6"/>
                <w:rFonts w:hint="default" w:ascii="Times New Roman" w:hAnsi="Times New Roman" w:eastAsia="宋体" w:cs="Times New Roman"/>
                <w:color w:val="auto"/>
                <w:sz w:val="17"/>
                <w:szCs w:val="17"/>
                <w:lang w:val="en-US" w:eastAsia="zh-CN" w:bidi="ar"/>
              </w:rPr>
              <w:t>管</w:t>
            </w:r>
            <w:r>
              <w:rPr>
                <w:rStyle w:val="7"/>
                <w:rFonts w:hint="default" w:ascii="Times New Roman" w:hAnsi="Times New Roman" w:eastAsia="宋体" w:cs="Times New Roman"/>
                <w:color w:val="auto"/>
                <w:sz w:val="17"/>
                <w:szCs w:val="17"/>
                <w:lang w:val="en-US" w:eastAsia="zh-CN" w:bidi="ar"/>
              </w:rPr>
              <w:t>·</w:t>
            </w:r>
            <w:r>
              <w:rPr>
                <w:rStyle w:val="6"/>
                <w:rFonts w:hint="default" w:ascii="Times New Roman" w:hAnsi="Times New Roman" w:eastAsia="宋体" w:cs="Times New Roman"/>
                <w:color w:val="auto"/>
                <w:sz w:val="17"/>
                <w:szCs w:val="17"/>
                <w:lang w:val="en-US" w:eastAsia="zh-CN" w:bidi="ar"/>
              </w:rPr>
              <w:t>日</w:t>
            </w:r>
          </w:p>
        </w:tc>
        <w:tc>
          <w:tcPr>
            <w:tcW w:w="2170" w:type="dxa"/>
            <w:tcBorders>
              <w:tl2br w:val="nil"/>
              <w:tr2bl w:val="nil"/>
            </w:tcBorders>
            <w:vAlign w:val="center"/>
          </w:tcPr>
          <w:p w14:paraId="09F8CE95">
            <w:pPr>
              <w:keepNext w:val="0"/>
              <w:keepLines w:val="0"/>
              <w:pageBreakBefore w:val="0"/>
              <w:widowControl/>
              <w:kinsoku/>
              <w:wordWrap/>
              <w:overflowPunct/>
              <w:topLinePunct w:val="0"/>
              <w:autoSpaceDE/>
              <w:autoSpaceDN/>
              <w:bidi w:val="0"/>
              <w:adjustRightInd/>
              <w:snapToGrid/>
              <w:spacing w:line="210" w:lineRule="exact"/>
              <w:jc w:val="center"/>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5E769B5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33%</w:t>
            </w:r>
          </w:p>
        </w:tc>
        <w:tc>
          <w:tcPr>
            <w:tcW w:w="830" w:type="dxa"/>
            <w:gridSpan w:val="2"/>
            <w:tcBorders>
              <w:tl2br w:val="nil"/>
              <w:tr2bl w:val="nil"/>
            </w:tcBorders>
            <w:vAlign w:val="center"/>
          </w:tcPr>
          <w:p w14:paraId="2EDA45A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33%</w:t>
            </w:r>
          </w:p>
        </w:tc>
        <w:tc>
          <w:tcPr>
            <w:tcW w:w="830" w:type="dxa"/>
            <w:gridSpan w:val="2"/>
            <w:tcBorders>
              <w:tl2br w:val="nil"/>
              <w:tr2bl w:val="nil"/>
            </w:tcBorders>
            <w:vAlign w:val="center"/>
          </w:tcPr>
          <w:p w14:paraId="5AB5887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33%</w:t>
            </w:r>
          </w:p>
        </w:tc>
        <w:tc>
          <w:tcPr>
            <w:tcW w:w="830" w:type="dxa"/>
            <w:gridSpan w:val="2"/>
            <w:tcBorders>
              <w:tl2br w:val="nil"/>
              <w:tr2bl w:val="nil"/>
            </w:tcBorders>
            <w:vAlign w:val="center"/>
          </w:tcPr>
          <w:p w14:paraId="3E63EF7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33%</w:t>
            </w:r>
          </w:p>
        </w:tc>
        <w:tc>
          <w:tcPr>
            <w:tcW w:w="836" w:type="dxa"/>
            <w:tcBorders>
              <w:tl2br w:val="nil"/>
              <w:tr2bl w:val="nil"/>
            </w:tcBorders>
            <w:vAlign w:val="center"/>
          </w:tcPr>
          <w:p w14:paraId="5E51F91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33%</w:t>
            </w:r>
          </w:p>
        </w:tc>
        <w:tc>
          <w:tcPr>
            <w:tcW w:w="564" w:type="dxa"/>
            <w:tcBorders>
              <w:tl2br w:val="nil"/>
              <w:tr2bl w:val="nil"/>
            </w:tcBorders>
            <w:vAlign w:val="center"/>
          </w:tcPr>
          <w:p w14:paraId="0CFDA7E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甲</w:t>
            </w:r>
          </w:p>
        </w:tc>
      </w:tr>
      <w:tr w14:paraId="261279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17D71EA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19</w:t>
            </w:r>
          </w:p>
        </w:tc>
        <w:tc>
          <w:tcPr>
            <w:tcW w:w="847" w:type="dxa"/>
            <w:tcBorders>
              <w:tl2br w:val="nil"/>
              <w:tr2bl w:val="nil"/>
            </w:tcBorders>
            <w:vAlign w:val="center"/>
          </w:tcPr>
          <w:p w14:paraId="22FA451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011303000080000</w:t>
            </w:r>
          </w:p>
        </w:tc>
        <w:tc>
          <w:tcPr>
            <w:tcW w:w="902" w:type="dxa"/>
            <w:tcBorders>
              <w:tl2br w:val="nil"/>
              <w:tr2bl w:val="nil"/>
            </w:tcBorders>
            <w:vAlign w:val="center"/>
          </w:tcPr>
          <w:p w14:paraId="6A00B59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肠内营养输注护理</w:t>
            </w:r>
          </w:p>
        </w:tc>
        <w:tc>
          <w:tcPr>
            <w:tcW w:w="1883" w:type="dxa"/>
            <w:tcBorders>
              <w:tl2br w:val="nil"/>
              <w:tr2bl w:val="nil"/>
            </w:tcBorders>
            <w:vAlign w:val="center"/>
          </w:tcPr>
          <w:p w14:paraId="5BB1746B">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指经鼻胃/肠管、造瘘等途径灌注药物或要素饮食的患者的护理。</w:t>
            </w:r>
          </w:p>
        </w:tc>
        <w:tc>
          <w:tcPr>
            <w:tcW w:w="2549" w:type="dxa"/>
            <w:tcBorders>
              <w:tl2br w:val="nil"/>
              <w:tr2bl w:val="nil"/>
            </w:tcBorders>
            <w:vAlign w:val="center"/>
          </w:tcPr>
          <w:p w14:paraId="479672CB">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所定价格涵盖患者肠内营养期间，评估病情、固定/冲洗管路、观察管路和患者腹部体征及排泄情况、心理护理、健康教育等所需的人力资源和基本物质资源消耗。不含创口换药。</w:t>
            </w:r>
          </w:p>
        </w:tc>
        <w:tc>
          <w:tcPr>
            <w:tcW w:w="427" w:type="dxa"/>
            <w:tcBorders>
              <w:tl2br w:val="nil"/>
              <w:tr2bl w:val="nil"/>
            </w:tcBorders>
            <w:vAlign w:val="center"/>
          </w:tcPr>
          <w:p w14:paraId="27DFF464">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1ABE9B5F">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680F257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39C7140A">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6386ED1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14</w:t>
            </w:r>
          </w:p>
        </w:tc>
        <w:tc>
          <w:tcPr>
            <w:tcW w:w="830" w:type="dxa"/>
            <w:gridSpan w:val="2"/>
            <w:tcBorders>
              <w:tl2br w:val="nil"/>
              <w:tr2bl w:val="nil"/>
            </w:tcBorders>
            <w:vAlign w:val="center"/>
          </w:tcPr>
          <w:p w14:paraId="725B45E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13</w:t>
            </w:r>
          </w:p>
        </w:tc>
        <w:tc>
          <w:tcPr>
            <w:tcW w:w="830" w:type="dxa"/>
            <w:gridSpan w:val="2"/>
            <w:tcBorders>
              <w:tl2br w:val="nil"/>
              <w:tr2bl w:val="nil"/>
            </w:tcBorders>
            <w:vAlign w:val="center"/>
          </w:tcPr>
          <w:p w14:paraId="6B7FD4B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12</w:t>
            </w:r>
          </w:p>
        </w:tc>
        <w:tc>
          <w:tcPr>
            <w:tcW w:w="830" w:type="dxa"/>
            <w:gridSpan w:val="2"/>
            <w:tcBorders>
              <w:tl2br w:val="nil"/>
              <w:tr2bl w:val="nil"/>
            </w:tcBorders>
            <w:vAlign w:val="center"/>
          </w:tcPr>
          <w:p w14:paraId="389EA23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11</w:t>
            </w:r>
          </w:p>
        </w:tc>
        <w:tc>
          <w:tcPr>
            <w:tcW w:w="836" w:type="dxa"/>
            <w:tcBorders>
              <w:tl2br w:val="nil"/>
              <w:tr2bl w:val="nil"/>
            </w:tcBorders>
            <w:vAlign w:val="center"/>
          </w:tcPr>
          <w:p w14:paraId="05A2EA1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11</w:t>
            </w:r>
          </w:p>
        </w:tc>
        <w:tc>
          <w:tcPr>
            <w:tcW w:w="564" w:type="dxa"/>
            <w:tcBorders>
              <w:tl2br w:val="nil"/>
              <w:tr2bl w:val="nil"/>
            </w:tcBorders>
            <w:vAlign w:val="center"/>
          </w:tcPr>
          <w:p w14:paraId="5B85861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丙</w:t>
            </w:r>
          </w:p>
        </w:tc>
      </w:tr>
      <w:tr w14:paraId="599AEE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1" w:hRule="atLeast"/>
          <w:jc w:val="center"/>
        </w:trPr>
        <w:tc>
          <w:tcPr>
            <w:tcW w:w="419" w:type="dxa"/>
            <w:tcBorders>
              <w:tl2br w:val="nil"/>
              <w:tr2bl w:val="nil"/>
            </w:tcBorders>
            <w:vAlign w:val="center"/>
          </w:tcPr>
          <w:p w14:paraId="3B09074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20</w:t>
            </w:r>
          </w:p>
        </w:tc>
        <w:tc>
          <w:tcPr>
            <w:tcW w:w="847" w:type="dxa"/>
            <w:tcBorders>
              <w:tl2br w:val="nil"/>
              <w:tr2bl w:val="nil"/>
            </w:tcBorders>
            <w:vAlign w:val="center"/>
          </w:tcPr>
          <w:p w14:paraId="059C46F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011303000090000</w:t>
            </w:r>
          </w:p>
        </w:tc>
        <w:tc>
          <w:tcPr>
            <w:tcW w:w="902" w:type="dxa"/>
            <w:tcBorders>
              <w:tl2br w:val="nil"/>
              <w:tr2bl w:val="nil"/>
            </w:tcBorders>
            <w:vAlign w:val="center"/>
          </w:tcPr>
          <w:p w14:paraId="2156988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造口/造瘘护理</w:t>
            </w:r>
          </w:p>
        </w:tc>
        <w:tc>
          <w:tcPr>
            <w:tcW w:w="1883" w:type="dxa"/>
            <w:tcBorders>
              <w:tl2br w:val="nil"/>
              <w:tr2bl w:val="nil"/>
            </w:tcBorders>
            <w:vAlign w:val="center"/>
          </w:tcPr>
          <w:p w14:paraId="5BB45118">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指对造口/造瘘实施维护，维持患者排泄通畅的护理。</w:t>
            </w:r>
          </w:p>
        </w:tc>
        <w:tc>
          <w:tcPr>
            <w:tcW w:w="2549" w:type="dxa"/>
            <w:tcBorders>
              <w:tl2br w:val="nil"/>
              <w:tr2bl w:val="nil"/>
            </w:tcBorders>
            <w:vAlign w:val="center"/>
          </w:tcPr>
          <w:p w14:paraId="43A964B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所定价格涵盖造口评估、观察排泄物/分泌物性状、清洁造口及周围皮肤、定期更换造口装置、心理护理、造口/造瘘护理健康指导等所需的人力资源和基本物质资源消耗。不含创口换药。</w:t>
            </w:r>
          </w:p>
        </w:tc>
        <w:tc>
          <w:tcPr>
            <w:tcW w:w="427" w:type="dxa"/>
            <w:tcBorders>
              <w:tl2br w:val="nil"/>
              <w:tr2bl w:val="nil"/>
            </w:tcBorders>
            <w:vAlign w:val="center"/>
          </w:tcPr>
          <w:p w14:paraId="6A5E1DFC">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1F14E9D4">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274BA24C">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每造口/每造瘘·日</w:t>
            </w:r>
          </w:p>
        </w:tc>
        <w:tc>
          <w:tcPr>
            <w:tcW w:w="2170" w:type="dxa"/>
            <w:tcBorders>
              <w:tl2br w:val="nil"/>
              <w:tr2bl w:val="nil"/>
            </w:tcBorders>
            <w:vAlign w:val="center"/>
          </w:tcPr>
          <w:p w14:paraId="4FB08DAA">
            <w:pPr>
              <w:keepNext w:val="0"/>
              <w:keepLines w:val="0"/>
              <w:pageBreakBefore w:val="0"/>
              <w:widowControl/>
              <w:kinsoku/>
              <w:wordWrap/>
              <w:overflowPunct/>
              <w:topLinePunct w:val="0"/>
              <w:autoSpaceDE/>
              <w:autoSpaceDN/>
              <w:bidi w:val="0"/>
              <w:adjustRightInd/>
              <w:snapToGrid/>
              <w:spacing w:line="220" w:lineRule="exact"/>
              <w:jc w:val="center"/>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6B580A0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19 </w:t>
            </w:r>
          </w:p>
        </w:tc>
        <w:tc>
          <w:tcPr>
            <w:tcW w:w="830" w:type="dxa"/>
            <w:gridSpan w:val="2"/>
            <w:tcBorders>
              <w:tl2br w:val="nil"/>
              <w:tr2bl w:val="nil"/>
            </w:tcBorders>
            <w:vAlign w:val="center"/>
          </w:tcPr>
          <w:p w14:paraId="0161D60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17 </w:t>
            </w:r>
          </w:p>
        </w:tc>
        <w:tc>
          <w:tcPr>
            <w:tcW w:w="830" w:type="dxa"/>
            <w:gridSpan w:val="2"/>
            <w:tcBorders>
              <w:tl2br w:val="nil"/>
              <w:tr2bl w:val="nil"/>
            </w:tcBorders>
            <w:vAlign w:val="center"/>
          </w:tcPr>
          <w:p w14:paraId="392DB18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16 </w:t>
            </w:r>
          </w:p>
        </w:tc>
        <w:tc>
          <w:tcPr>
            <w:tcW w:w="830" w:type="dxa"/>
            <w:gridSpan w:val="2"/>
            <w:tcBorders>
              <w:tl2br w:val="nil"/>
              <w:tr2bl w:val="nil"/>
            </w:tcBorders>
            <w:vAlign w:val="center"/>
          </w:tcPr>
          <w:p w14:paraId="1DB7B91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12 </w:t>
            </w:r>
          </w:p>
        </w:tc>
        <w:tc>
          <w:tcPr>
            <w:tcW w:w="836" w:type="dxa"/>
            <w:tcBorders>
              <w:tl2br w:val="nil"/>
              <w:tr2bl w:val="nil"/>
            </w:tcBorders>
            <w:vAlign w:val="center"/>
          </w:tcPr>
          <w:p w14:paraId="7705571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10 </w:t>
            </w:r>
          </w:p>
        </w:tc>
        <w:tc>
          <w:tcPr>
            <w:tcW w:w="564" w:type="dxa"/>
            <w:tcBorders>
              <w:tl2br w:val="nil"/>
              <w:tr2bl w:val="nil"/>
            </w:tcBorders>
            <w:vAlign w:val="center"/>
          </w:tcPr>
          <w:p w14:paraId="57972D31">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79DCC6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23F5B62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21</w:t>
            </w:r>
          </w:p>
        </w:tc>
        <w:tc>
          <w:tcPr>
            <w:tcW w:w="847" w:type="dxa"/>
            <w:tcBorders>
              <w:tl2br w:val="nil"/>
              <w:tr2bl w:val="nil"/>
            </w:tcBorders>
            <w:vAlign w:val="center"/>
          </w:tcPr>
          <w:p w14:paraId="6565CC73">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011303000100000</w:t>
            </w:r>
          </w:p>
        </w:tc>
        <w:tc>
          <w:tcPr>
            <w:tcW w:w="902" w:type="dxa"/>
            <w:tcBorders>
              <w:tl2br w:val="nil"/>
              <w:tr2bl w:val="nil"/>
            </w:tcBorders>
            <w:vAlign w:val="center"/>
          </w:tcPr>
          <w:p w14:paraId="1AF6E39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压力性损伤护理</w:t>
            </w:r>
          </w:p>
        </w:tc>
        <w:tc>
          <w:tcPr>
            <w:tcW w:w="1883" w:type="dxa"/>
            <w:tcBorders>
              <w:tl2br w:val="nil"/>
              <w:tr2bl w:val="nil"/>
            </w:tcBorders>
            <w:vAlign w:val="center"/>
          </w:tcPr>
          <w:p w14:paraId="33C9FB34">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指对有压力性损伤风险或已出现压力性损伤患者，实施预防或护理。</w:t>
            </w:r>
          </w:p>
        </w:tc>
        <w:tc>
          <w:tcPr>
            <w:tcW w:w="2549" w:type="dxa"/>
            <w:tcBorders>
              <w:tl2br w:val="nil"/>
              <w:tr2bl w:val="nil"/>
            </w:tcBorders>
            <w:vAlign w:val="center"/>
          </w:tcPr>
          <w:p w14:paraId="184935AF">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评估患者病情及配合程度、评估压疮分级和危险因素、协助患者取适当体位、采用敷料等支撑面减压保护、定时翻身、协助患者恢复舒适体位、处理用物、记录、健康教育及心理护理。必要时进行创面抗感染、渗液管理和周围皮肤保护等所需的人力资源和基本物质资源消耗。不含换药。</w:t>
            </w:r>
          </w:p>
        </w:tc>
        <w:tc>
          <w:tcPr>
            <w:tcW w:w="427" w:type="dxa"/>
            <w:tcBorders>
              <w:tl2br w:val="nil"/>
              <w:tr2bl w:val="nil"/>
            </w:tcBorders>
            <w:vAlign w:val="center"/>
          </w:tcPr>
          <w:p w14:paraId="623F49E8">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12EE5239">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4E1470B5">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48C477E0">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830" w:type="dxa"/>
            <w:gridSpan w:val="2"/>
            <w:tcBorders>
              <w:tl2br w:val="nil"/>
              <w:tr2bl w:val="nil"/>
            </w:tcBorders>
            <w:vAlign w:val="center"/>
          </w:tcPr>
          <w:p w14:paraId="5206044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46 </w:t>
            </w:r>
          </w:p>
        </w:tc>
        <w:tc>
          <w:tcPr>
            <w:tcW w:w="830" w:type="dxa"/>
            <w:gridSpan w:val="2"/>
            <w:tcBorders>
              <w:tl2br w:val="nil"/>
              <w:tr2bl w:val="nil"/>
            </w:tcBorders>
            <w:vAlign w:val="center"/>
          </w:tcPr>
          <w:p w14:paraId="2D73EDDE">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42 </w:t>
            </w:r>
          </w:p>
        </w:tc>
        <w:tc>
          <w:tcPr>
            <w:tcW w:w="830" w:type="dxa"/>
            <w:gridSpan w:val="2"/>
            <w:tcBorders>
              <w:tl2br w:val="nil"/>
              <w:tr2bl w:val="nil"/>
            </w:tcBorders>
            <w:vAlign w:val="center"/>
          </w:tcPr>
          <w:p w14:paraId="2E04CBA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38 </w:t>
            </w:r>
          </w:p>
        </w:tc>
        <w:tc>
          <w:tcPr>
            <w:tcW w:w="830" w:type="dxa"/>
            <w:gridSpan w:val="2"/>
            <w:tcBorders>
              <w:tl2br w:val="nil"/>
              <w:tr2bl w:val="nil"/>
            </w:tcBorders>
            <w:vAlign w:val="center"/>
          </w:tcPr>
          <w:p w14:paraId="65EAF7F0">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36 </w:t>
            </w:r>
          </w:p>
        </w:tc>
        <w:tc>
          <w:tcPr>
            <w:tcW w:w="836" w:type="dxa"/>
            <w:tcBorders>
              <w:tl2br w:val="nil"/>
              <w:tr2bl w:val="nil"/>
            </w:tcBorders>
            <w:vAlign w:val="center"/>
          </w:tcPr>
          <w:p w14:paraId="1ECD25D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 xml:space="preserve">34 </w:t>
            </w:r>
          </w:p>
        </w:tc>
        <w:tc>
          <w:tcPr>
            <w:tcW w:w="564" w:type="dxa"/>
            <w:tcBorders>
              <w:tl2br w:val="nil"/>
              <w:tr2bl w:val="nil"/>
            </w:tcBorders>
            <w:vAlign w:val="center"/>
          </w:tcPr>
          <w:p w14:paraId="5858F352">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Style w:val="5"/>
                <w:rFonts w:hint="default" w:ascii="Times New Roman" w:hAnsi="Times New Roman" w:eastAsia="宋体" w:cs="Times New Roman"/>
                <w:color w:val="auto"/>
                <w:sz w:val="17"/>
                <w:szCs w:val="17"/>
                <w:lang w:val="en-US" w:eastAsia="zh-CN" w:bidi="ar"/>
              </w:rPr>
              <w:t>甲</w:t>
            </w:r>
          </w:p>
        </w:tc>
      </w:tr>
      <w:tr w14:paraId="775D77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419" w:type="dxa"/>
            <w:tcBorders>
              <w:tl2br w:val="nil"/>
              <w:tr2bl w:val="nil"/>
            </w:tcBorders>
            <w:vAlign w:val="center"/>
          </w:tcPr>
          <w:p w14:paraId="432E2C5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22</w:t>
            </w:r>
          </w:p>
        </w:tc>
        <w:tc>
          <w:tcPr>
            <w:tcW w:w="847" w:type="dxa"/>
            <w:tcBorders>
              <w:tl2br w:val="nil"/>
              <w:tr2bl w:val="nil"/>
            </w:tcBorders>
            <w:vAlign w:val="center"/>
          </w:tcPr>
          <w:p w14:paraId="4328C90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011303000110000</w:t>
            </w:r>
          </w:p>
        </w:tc>
        <w:tc>
          <w:tcPr>
            <w:tcW w:w="902" w:type="dxa"/>
            <w:tcBorders>
              <w:tl2br w:val="nil"/>
              <w:tr2bl w:val="nil"/>
            </w:tcBorders>
            <w:vAlign w:val="center"/>
          </w:tcPr>
          <w:p w14:paraId="5112F3BA">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免陪照护服务</w:t>
            </w:r>
          </w:p>
        </w:tc>
        <w:tc>
          <w:tcPr>
            <w:tcW w:w="1883" w:type="dxa"/>
            <w:tcBorders>
              <w:tl2br w:val="nil"/>
              <w:tr2bl w:val="nil"/>
            </w:tcBorders>
            <w:vAlign w:val="center"/>
          </w:tcPr>
          <w:p w14:paraId="40FAC89D">
            <w:pPr>
              <w:keepNext w:val="0"/>
              <w:keepLines w:val="0"/>
              <w:pageBreakBefore w:val="0"/>
              <w:widowControl/>
              <w:suppressLineNumbers w:val="0"/>
              <w:kinsoku/>
              <w:wordWrap/>
              <w:overflowPunct/>
              <w:topLinePunct w:val="0"/>
              <w:autoSpaceDE/>
              <w:autoSpaceDN/>
              <w:bidi w:val="0"/>
              <w:adjustRightInd/>
              <w:snapToGrid/>
              <w:spacing w:line="220" w:lineRule="exact"/>
              <w:jc w:val="both"/>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指公立医疗机构提供的服务事项，指在没有家属和护工参与的情况下，完全由护士、护理员承担患者全部生活护理。</w:t>
            </w:r>
          </w:p>
        </w:tc>
        <w:tc>
          <w:tcPr>
            <w:tcW w:w="2549" w:type="dxa"/>
            <w:tcBorders>
              <w:tl2br w:val="nil"/>
              <w:tr2bl w:val="nil"/>
            </w:tcBorders>
            <w:vAlign w:val="center"/>
          </w:tcPr>
          <w:p w14:paraId="11AB9B94">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所定价格涵盖生活照顾等所需的人力资源和基本物质资源消耗。</w:t>
            </w:r>
          </w:p>
        </w:tc>
        <w:tc>
          <w:tcPr>
            <w:tcW w:w="427" w:type="dxa"/>
            <w:tcBorders>
              <w:tl2br w:val="nil"/>
              <w:tr2bl w:val="nil"/>
            </w:tcBorders>
            <w:vAlign w:val="center"/>
          </w:tcPr>
          <w:p w14:paraId="5C0EDD74">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427" w:type="dxa"/>
            <w:tcBorders>
              <w:tl2br w:val="nil"/>
              <w:tr2bl w:val="nil"/>
            </w:tcBorders>
            <w:vAlign w:val="center"/>
          </w:tcPr>
          <w:p w14:paraId="6FB60047">
            <w:pPr>
              <w:keepNext w:val="0"/>
              <w:keepLines w:val="0"/>
              <w:pageBreakBefore w:val="0"/>
              <w:widowControl/>
              <w:kinsoku/>
              <w:wordWrap/>
              <w:overflowPunct/>
              <w:topLinePunct w:val="0"/>
              <w:autoSpaceDE/>
              <w:autoSpaceDN/>
              <w:bidi w:val="0"/>
              <w:adjustRightInd/>
              <w:snapToGrid/>
              <w:spacing w:line="220" w:lineRule="exact"/>
              <w:jc w:val="left"/>
              <w:rPr>
                <w:rFonts w:hint="default" w:ascii="Times New Roman" w:hAnsi="Times New Roman" w:eastAsia="宋体" w:cs="Times New Roman"/>
                <w:i w:val="0"/>
                <w:iCs w:val="0"/>
                <w:color w:val="auto"/>
                <w:sz w:val="17"/>
                <w:szCs w:val="17"/>
                <w:u w:val="none"/>
              </w:rPr>
            </w:pPr>
          </w:p>
        </w:tc>
        <w:tc>
          <w:tcPr>
            <w:tcW w:w="516" w:type="dxa"/>
            <w:tcBorders>
              <w:tl2br w:val="nil"/>
              <w:tr2bl w:val="nil"/>
            </w:tcBorders>
            <w:vAlign w:val="center"/>
          </w:tcPr>
          <w:p w14:paraId="40D56FB4">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日</w:t>
            </w:r>
          </w:p>
        </w:tc>
        <w:tc>
          <w:tcPr>
            <w:tcW w:w="2170" w:type="dxa"/>
            <w:tcBorders>
              <w:tl2br w:val="nil"/>
              <w:tr2bl w:val="nil"/>
            </w:tcBorders>
            <w:vAlign w:val="center"/>
          </w:tcPr>
          <w:p w14:paraId="65A70A15">
            <w:pPr>
              <w:keepNext w:val="0"/>
              <w:keepLines w:val="0"/>
              <w:pageBreakBefore w:val="0"/>
              <w:widowControl/>
              <w:suppressLineNumbers w:val="0"/>
              <w:kinsoku/>
              <w:wordWrap/>
              <w:overflowPunct/>
              <w:topLinePunct w:val="0"/>
              <w:autoSpaceDE/>
              <w:autoSpaceDN/>
              <w:bidi w:val="0"/>
              <w:adjustRightInd/>
              <w:snapToGrid/>
              <w:spacing w:line="220" w:lineRule="exact"/>
              <w:jc w:val="left"/>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1.指在特级护理、I级护理服务的基础上同时开展免陪照护服务的，可在特级护理、I级护理收费的同时，加收该项目收费；</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2.免陪照护患者家庭根据自身需要自行雇佣护理员，通过市场化解决，不属于医疗服务价格项目管理范畴。</w:t>
            </w:r>
          </w:p>
        </w:tc>
        <w:tc>
          <w:tcPr>
            <w:tcW w:w="830" w:type="dxa"/>
            <w:gridSpan w:val="2"/>
            <w:tcBorders>
              <w:tl2br w:val="nil"/>
              <w:tr2bl w:val="nil"/>
            </w:tcBorders>
            <w:vAlign w:val="center"/>
          </w:tcPr>
          <w:p w14:paraId="085A0696">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1名护士或护理员照护1名患者：228元；</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1名护士或护理员照护多名患者：95元；</w:t>
            </w:r>
          </w:p>
        </w:tc>
        <w:tc>
          <w:tcPr>
            <w:tcW w:w="830" w:type="dxa"/>
            <w:gridSpan w:val="2"/>
            <w:tcBorders>
              <w:tl2br w:val="nil"/>
              <w:tr2bl w:val="nil"/>
            </w:tcBorders>
            <w:vAlign w:val="center"/>
          </w:tcPr>
          <w:p w14:paraId="516506D8">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1名护士或护理员照护1名患者：209元；</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1名护士或护理员照护多名患者：86元；</w:t>
            </w:r>
          </w:p>
        </w:tc>
        <w:tc>
          <w:tcPr>
            <w:tcW w:w="830" w:type="dxa"/>
            <w:gridSpan w:val="2"/>
            <w:tcBorders>
              <w:tl2br w:val="nil"/>
              <w:tr2bl w:val="nil"/>
            </w:tcBorders>
            <w:vAlign w:val="center"/>
          </w:tcPr>
          <w:p w14:paraId="742D7919">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1名护士或护理员照护1名患者：190元；</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1名护士或护理员照护多名患者：79元；</w:t>
            </w:r>
          </w:p>
        </w:tc>
        <w:tc>
          <w:tcPr>
            <w:tcW w:w="830" w:type="dxa"/>
            <w:gridSpan w:val="2"/>
            <w:tcBorders>
              <w:tl2br w:val="nil"/>
              <w:tr2bl w:val="nil"/>
            </w:tcBorders>
            <w:vAlign w:val="center"/>
          </w:tcPr>
          <w:p w14:paraId="7118417D">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1名护士或护理员照护1名患者：181元；</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1名护士或护理员照护多名患者：75元；</w:t>
            </w:r>
          </w:p>
        </w:tc>
        <w:tc>
          <w:tcPr>
            <w:tcW w:w="836" w:type="dxa"/>
            <w:tcBorders>
              <w:tl2br w:val="nil"/>
              <w:tr2bl w:val="nil"/>
            </w:tcBorders>
            <w:vAlign w:val="center"/>
          </w:tcPr>
          <w:p w14:paraId="58E1294B">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1名护士或护理员照护1名患者：171元；</w:t>
            </w:r>
            <w:r>
              <w:rPr>
                <w:rFonts w:hint="default" w:ascii="Times New Roman" w:hAnsi="Times New Roman" w:eastAsia="宋体" w:cs="Times New Roman"/>
                <w:i w:val="0"/>
                <w:iCs w:val="0"/>
                <w:color w:val="auto"/>
                <w:kern w:val="0"/>
                <w:sz w:val="17"/>
                <w:szCs w:val="17"/>
                <w:u w:val="none"/>
                <w:lang w:val="en-US" w:eastAsia="zh-CN" w:bidi="ar"/>
              </w:rPr>
              <w:br w:type="textWrapping"/>
            </w:r>
            <w:r>
              <w:rPr>
                <w:rFonts w:hint="default" w:ascii="Times New Roman" w:hAnsi="Times New Roman" w:eastAsia="宋体" w:cs="Times New Roman"/>
                <w:i w:val="0"/>
                <w:iCs w:val="0"/>
                <w:color w:val="auto"/>
                <w:kern w:val="0"/>
                <w:sz w:val="17"/>
                <w:szCs w:val="17"/>
                <w:u w:val="none"/>
                <w:lang w:val="en-US" w:eastAsia="zh-CN" w:bidi="ar"/>
              </w:rPr>
              <w:t>1名护士或护理员照护多名患者：71元；</w:t>
            </w:r>
          </w:p>
        </w:tc>
        <w:tc>
          <w:tcPr>
            <w:tcW w:w="564" w:type="dxa"/>
            <w:tcBorders>
              <w:tl2br w:val="nil"/>
              <w:tr2bl w:val="nil"/>
            </w:tcBorders>
            <w:vAlign w:val="center"/>
          </w:tcPr>
          <w:p w14:paraId="676F5A6F">
            <w:pPr>
              <w:keepNext w:val="0"/>
              <w:keepLines w:val="0"/>
              <w:pageBreakBefore w:val="0"/>
              <w:widowControl/>
              <w:suppressLineNumbers w:val="0"/>
              <w:kinsoku/>
              <w:wordWrap/>
              <w:overflowPunct/>
              <w:topLinePunct w:val="0"/>
              <w:autoSpaceDE/>
              <w:autoSpaceDN/>
              <w:bidi w:val="0"/>
              <w:adjustRightInd/>
              <w:snapToGrid/>
              <w:spacing w:line="220" w:lineRule="exact"/>
              <w:jc w:val="center"/>
              <w:textAlignment w:val="center"/>
              <w:rPr>
                <w:rFonts w:hint="default" w:ascii="Times New Roman" w:hAnsi="Times New Roman" w:eastAsia="宋体" w:cs="Times New Roman"/>
                <w:i w:val="0"/>
                <w:iCs w:val="0"/>
                <w:color w:val="auto"/>
                <w:sz w:val="17"/>
                <w:szCs w:val="17"/>
                <w:u w:val="none"/>
              </w:rPr>
            </w:pPr>
            <w:r>
              <w:rPr>
                <w:rFonts w:hint="default" w:ascii="Times New Roman" w:hAnsi="Times New Roman" w:eastAsia="宋体" w:cs="Times New Roman"/>
                <w:i w:val="0"/>
                <w:iCs w:val="0"/>
                <w:color w:val="auto"/>
                <w:kern w:val="0"/>
                <w:sz w:val="17"/>
                <w:szCs w:val="17"/>
                <w:u w:val="none"/>
                <w:lang w:val="en-US" w:eastAsia="zh-CN" w:bidi="ar"/>
              </w:rPr>
              <w:t>丙</w:t>
            </w:r>
          </w:p>
        </w:tc>
      </w:tr>
    </w:tbl>
    <w:p w14:paraId="1B4295EE"/>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黑体_GBK">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966D5F"/>
    <w:rsid w:val="4AB377DF"/>
    <w:rsid w:val="4D966D5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character" w:customStyle="1" w:styleId="5">
    <w:name w:val="font161"/>
    <w:basedOn w:val="4"/>
    <w:qFormat/>
    <w:uiPriority w:val="0"/>
    <w:rPr>
      <w:rFonts w:ascii="宋体" w:hAnsi="宋体" w:eastAsia="宋体" w:cs="宋体"/>
      <w:color w:val="000000"/>
      <w:sz w:val="16"/>
      <w:szCs w:val="16"/>
      <w:u w:val="none"/>
    </w:rPr>
  </w:style>
  <w:style w:type="character" w:customStyle="1" w:styleId="6">
    <w:name w:val="font111"/>
    <w:basedOn w:val="4"/>
    <w:qFormat/>
    <w:uiPriority w:val="0"/>
    <w:rPr>
      <w:rFonts w:hint="eastAsia" w:ascii="宋体" w:hAnsi="宋体" w:eastAsia="宋体" w:cs="宋体"/>
      <w:color w:val="000000"/>
      <w:sz w:val="17"/>
      <w:szCs w:val="17"/>
      <w:u w:val="none"/>
    </w:rPr>
  </w:style>
  <w:style w:type="character" w:customStyle="1" w:styleId="7">
    <w:name w:val="font121"/>
    <w:basedOn w:val="4"/>
    <w:uiPriority w:val="0"/>
    <w:rPr>
      <w:rFonts w:hint="default" w:ascii="Times New Roman" w:hAnsi="Times New Roman" w:cs="Times New Roman"/>
      <w:color w:val="000000"/>
      <w:sz w:val="17"/>
      <w:szCs w:val="17"/>
      <w:u w:val="non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6242</Words>
  <Characters>6887</Characters>
  <Lines>0</Lines>
  <Paragraphs>0</Paragraphs>
  <TotalTime>0</TotalTime>
  <ScaleCrop>false</ScaleCrop>
  <LinksUpToDate>false</LinksUpToDate>
  <CharactersWithSpaces>6983</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2025-05-20T07:08:00Z</dcterms:created>
  <dc:creator>王钧瑶</dc:creator>
  <cp:lastModifiedBy>北梦木兮</cp:lastModifiedBy>
  <dcterms:modified xsi:type="dcterms:W3CDTF">2026-01-16T02:53:03Z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98B1742908184293916E2BB6BBFBB6EF_13</vt:lpwstr>
  </property>
</Properties>
</file>