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D21AD">
      <w:pPr>
        <w:keepNext w:val="0"/>
        <w:keepLines w:val="0"/>
        <w:pageBreakBefore w:val="0"/>
        <w:widowControl w:val="0"/>
        <w:kinsoku/>
        <w:wordWrap/>
        <w:overflowPunct/>
        <w:topLinePunct w:val="0"/>
        <w:autoSpaceDE/>
        <w:autoSpaceDN/>
        <w:bidi w:val="0"/>
        <w:adjustRightInd w:val="0"/>
        <w:snapToGrid w:val="0"/>
        <w:spacing w:line="576" w:lineRule="exact"/>
        <w:ind w:firstLine="0" w:firstLineChars="0"/>
        <w:textAlignment w:val="auto"/>
        <w:rPr>
          <w:rFonts w:hint="default" w:ascii="Times New Roman" w:hAnsi="Times New Roman" w:eastAsia="黑体" w:cs="Times New Roman"/>
          <w:snapToGrid w:val="0"/>
          <w:color w:val="auto"/>
          <w:sz w:val="32"/>
          <w:szCs w:val="32"/>
          <w:lang w:val="en-US" w:eastAsia="zh-CN"/>
        </w:rPr>
      </w:pPr>
      <w:r>
        <w:rPr>
          <w:rFonts w:hint="default" w:ascii="Times New Roman" w:hAnsi="Times New Roman" w:eastAsia="黑体" w:cs="Times New Roman"/>
          <w:snapToGrid w:val="0"/>
          <w:color w:val="auto"/>
          <w:sz w:val="32"/>
          <w:szCs w:val="32"/>
          <w:lang w:eastAsia="zh-CN"/>
        </w:rPr>
        <w:t>附件</w:t>
      </w:r>
      <w:r>
        <w:rPr>
          <w:rFonts w:hint="default" w:ascii="Times New Roman" w:hAnsi="Times New Roman" w:eastAsia="黑体" w:cs="Times New Roman"/>
          <w:snapToGrid w:val="0"/>
          <w:color w:val="auto"/>
          <w:sz w:val="32"/>
          <w:szCs w:val="32"/>
          <w:lang w:val="en-US" w:eastAsia="zh-CN"/>
        </w:rPr>
        <w:t>3</w:t>
      </w:r>
      <w:r>
        <w:rPr>
          <w:rFonts w:hint="default" w:ascii="仿宋_GB2312" w:hAnsi="仿宋_GB2312" w:eastAsia="黑体" w:cs="Times New Roman"/>
          <w:snapToGrid w:val="0"/>
          <w:color w:val="auto"/>
          <w:sz w:val="32"/>
          <w:szCs w:val="32"/>
          <w:lang w:val="en-US" w:eastAsia="zh-CN"/>
        </w:rPr>
        <w:t>-</w:t>
      </w:r>
      <w:r>
        <w:rPr>
          <w:rFonts w:hint="default" w:ascii="Times New Roman" w:hAnsi="Times New Roman" w:eastAsia="黑体" w:cs="Times New Roman"/>
          <w:snapToGrid w:val="0"/>
          <w:color w:val="auto"/>
          <w:sz w:val="32"/>
          <w:szCs w:val="32"/>
          <w:lang w:val="en-US" w:eastAsia="zh-CN"/>
        </w:rPr>
        <w:t>1</w:t>
      </w:r>
    </w:p>
    <w:p w14:paraId="654CDEDE">
      <w:pPr>
        <w:keepNext w:val="0"/>
        <w:keepLines w:val="0"/>
        <w:pageBreakBefore w:val="0"/>
        <w:widowControl w:val="0"/>
        <w:kinsoku/>
        <w:wordWrap/>
        <w:overflowPunct/>
        <w:topLinePunct w:val="0"/>
        <w:autoSpaceDE/>
        <w:autoSpaceDN/>
        <w:bidi w:val="0"/>
        <w:adjustRightInd w:val="0"/>
        <w:snapToGrid w:val="0"/>
        <w:spacing w:line="576" w:lineRule="exact"/>
        <w:ind w:firstLine="0" w:firstLineChars="0"/>
        <w:jc w:val="center"/>
        <w:textAlignment w:val="auto"/>
        <w:rPr>
          <w:rFonts w:hint="default" w:ascii="Times New Roman" w:hAnsi="Times New Roman" w:eastAsia="方正小标宋简体" w:cs="Times New Roman"/>
          <w:color w:val="auto"/>
          <w:spacing w:val="0"/>
          <w:kern w:val="21"/>
          <w:sz w:val="44"/>
          <w:szCs w:val="44"/>
          <w:vertAlign w:val="baseline"/>
          <w:lang w:val="en-US" w:eastAsia="zh-CN"/>
        </w:rPr>
      </w:pPr>
      <w:bookmarkStart w:id="0" w:name="_GoBack"/>
      <w:r>
        <w:rPr>
          <w:rFonts w:hint="eastAsia" w:ascii="Times New Roman" w:hAnsi="Times New Roman" w:eastAsia="方正小标宋简体" w:cs="Times New Roman"/>
          <w:color w:val="auto"/>
          <w:spacing w:val="0"/>
          <w:kern w:val="21"/>
          <w:sz w:val="44"/>
          <w:szCs w:val="44"/>
          <w:vertAlign w:val="baseline"/>
          <w:lang w:val="en-US" w:eastAsia="zh-CN"/>
        </w:rPr>
        <w:t>巴中市</w:t>
      </w:r>
      <w:r>
        <w:rPr>
          <w:rFonts w:hint="default" w:ascii="Times New Roman" w:hAnsi="Times New Roman" w:eastAsia="方正小标宋简体" w:cs="Times New Roman"/>
          <w:color w:val="auto"/>
          <w:spacing w:val="0"/>
          <w:kern w:val="21"/>
          <w:sz w:val="44"/>
          <w:szCs w:val="44"/>
          <w:vertAlign w:val="baseline"/>
          <w:lang w:val="en-US" w:eastAsia="zh-CN"/>
        </w:rPr>
        <w:t>产科类医疗服务</w:t>
      </w:r>
      <w:r>
        <w:rPr>
          <w:rFonts w:hint="default" w:ascii="Times New Roman" w:hAnsi="Times New Roman" w:eastAsia="方正小标宋简体" w:cs="Times New Roman"/>
          <w:color w:val="auto"/>
          <w:sz w:val="44"/>
          <w:szCs w:val="44"/>
          <w:lang w:val="en-US" w:eastAsia="zh-CN"/>
        </w:rPr>
        <w:t>项目价格</w:t>
      </w:r>
      <w:r>
        <w:rPr>
          <w:rFonts w:hint="eastAsia" w:ascii="Times New Roman" w:hAnsi="Times New Roman" w:eastAsia="方正小标宋简体" w:cs="Times New Roman"/>
          <w:color w:val="auto"/>
          <w:sz w:val="44"/>
          <w:szCs w:val="44"/>
          <w:lang w:val="en-US" w:eastAsia="zh-CN"/>
        </w:rPr>
        <w:t>及医保支付类别</w:t>
      </w:r>
      <w:r>
        <w:rPr>
          <w:rFonts w:hint="default" w:ascii="Times New Roman" w:hAnsi="Times New Roman" w:eastAsia="方正小标宋简体" w:cs="Times New Roman"/>
          <w:color w:val="auto"/>
          <w:spacing w:val="0"/>
          <w:kern w:val="21"/>
          <w:sz w:val="44"/>
          <w:szCs w:val="44"/>
          <w:vertAlign w:val="baseline"/>
          <w:lang w:val="en-US" w:eastAsia="zh-CN"/>
        </w:rPr>
        <w:t>表</w:t>
      </w:r>
      <w:bookmarkEnd w:id="0"/>
    </w:p>
    <w:p w14:paraId="1DA27F5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default" w:ascii="Times New Roman" w:hAnsi="Times New Roman" w:eastAsia="方正小标宋简体" w:cs="Times New Roman"/>
          <w:color w:val="auto"/>
          <w:spacing w:val="0"/>
          <w:kern w:val="21"/>
          <w:sz w:val="44"/>
          <w:szCs w:val="44"/>
          <w:vertAlign w:val="baseline"/>
          <w:lang w:val="en-US" w:eastAsia="zh-CN"/>
        </w:rPr>
      </w:pPr>
    </w:p>
    <w:tbl>
      <w:tblPr>
        <w:tblStyle w:val="2"/>
        <w:tblW w:w="520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4747"/>
      </w:tblGrid>
      <w:tr w14:paraId="7D67A2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076" w:hRule="atLeast"/>
          <w:jc w:val="center"/>
        </w:trPr>
        <w:tc>
          <w:tcPr>
            <w:tcW w:w="5000" w:type="pct"/>
            <w:tcBorders>
              <w:tl2br w:val="nil"/>
              <w:tr2bl w:val="nil"/>
            </w:tcBorders>
            <w:noWrap w:val="0"/>
            <w:vAlign w:val="center"/>
          </w:tcPr>
          <w:p w14:paraId="5A801FA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jc w:val="both"/>
              <w:textAlignment w:val="center"/>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eastAsia="宋体" w:cs="Times New Roman"/>
                <w:i w:val="0"/>
                <w:iCs w:val="0"/>
                <w:color w:val="auto"/>
                <w:sz w:val="20"/>
                <w:szCs w:val="20"/>
                <w:u w:val="none"/>
                <w:lang w:val="en-US" w:eastAsia="zh-CN"/>
              </w:rPr>
              <w:t>使用说明：</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1.所定价格属于政府指导价为最高限价，下浮不限；同时，医疗机构、医务人员有关创新改良，可以采取“现有项目兼容”的方式简化处理，直接按照对应的整合项目执行即可。</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2.“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3.“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各项的加/减收水平后，求和得出加/减收金额。</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4.“扩展项”指同一项目下以不同方式提供或在不同场景应用时，只扩展价格项目适用范围、不额外加价的一类子项，子项的价格按主项目执行。</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5.“基本物耗”指原则上限于不应或不必要与医疗服务项目分割的易耗品，包括但不限于各类消杀灭菌用品、储存用品、清洁用品、个人防护用品、垃圾处理用品、阴道扩张器、冲洗液、润滑剂、棉球、棉签、纱布（垫）、护（尿）垫、手术巾（单）、治疗巾（单）、中单、治疗护理盘（包）、手术包、注射器、滑石粉、防渗漏垫、标签、可复用的操作器具、冲洗工具。基本物耗成本计入项目价格，不另行收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6.计价单位“胎/次”，指每胎每次。</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7.涉及“复杂”“特殊”等内涵未尽的表述，除已明确的情形外，医院实践中按照“特殊”“复杂”情形计费的，应以国家级技术规范、临床指南或专家共识中的明确定性为前提，下同。</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8.“穿刺”为主项操作涉及的必要穿刺技术。</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9.“包括……”“……等”的，属于开放型表述，所指对象不仅局限于表述中列明的事项，也包括未列明的同类事项。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10.“内镜下辅助操作”指涉及内镜下的辅助操作，包括但不限于腹腔镜、宫腔镜、胎儿镜、羊膜镜等各类内镜，统一按“内镜下辅助操作”加收。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11.在诊疗项目服务中，除另有规定的，不足一个计价单位的按一个计价单位计算；一个服务项目在同一时间经多次操作方能完成，也应按一次计价。</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12.除另有规定的，诊疗项目中的活检均不含病理诊断的服务内容。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13.术中使用下列设备按所施手术服务价格加收:使用激光、微波、射频、冷冻方法治疗的加收50元；使用激光刀、高频电刀、双极电凝、氩氨刀、射频刀、微波刀加收7%；使用动力（切削、高速钻）系统加收10%；使用氩气刀、等离子刀按所施手术服务价格加收15%；使用大血管闭合系统加收</w:t>
            </w:r>
            <w:r>
              <w:rPr>
                <w:rFonts w:hint="eastAsia" w:ascii="Times New Roman" w:hAnsi="Times New Roman" w:eastAsia="宋体" w:cs="Times New Roman"/>
                <w:i w:val="0"/>
                <w:iCs w:val="0"/>
                <w:color w:val="auto"/>
                <w:sz w:val="20"/>
                <w:szCs w:val="20"/>
                <w:u w:val="none"/>
                <w:lang w:val="en-US" w:eastAsia="zh-CN"/>
              </w:rPr>
              <w:t>8</w:t>
            </w:r>
            <w:r>
              <w:rPr>
                <w:rFonts w:hint="default" w:ascii="Times New Roman" w:hAnsi="Times New Roman" w:eastAsia="宋体" w:cs="Times New Roman"/>
                <w:i w:val="0"/>
                <w:iCs w:val="0"/>
                <w:color w:val="auto"/>
                <w:sz w:val="20"/>
                <w:szCs w:val="20"/>
                <w:u w:val="none"/>
                <w:lang w:val="en-US" w:eastAsia="zh-CN"/>
              </w:rPr>
              <w:t>00元；使用水刀系统加收200元（一次性泵和手柄为除外内容）。辅助操作医疗服务价格项目立项指南落地后，以新的价格政策为准。</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14.同台不同疾病手术、同一切口不同疾病手术，按各项手术价格分别计费；同一疾病双侧器官同时实行的手术，在按相应单侧手术收费基础加收70%。麻醉费不再另外加收。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15.如病情需要再次手术，应在该项目计价基础上，按20%加收。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16.传染病患者实施手术加收100元特殊消毒费，特异性感染疾病（破伤风、绿脓杆菌、气性坏疽、艾滋病等）患者手术加收800元特殊消毒及处置费。</w:t>
            </w:r>
          </w:p>
        </w:tc>
      </w:tr>
    </w:tbl>
    <w:p w14:paraId="1A20C079">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pacing w:val="0"/>
          <w:kern w:val="21"/>
          <w:sz w:val="48"/>
          <w:szCs w:val="48"/>
          <w:vertAlign w:val="baseline"/>
          <w:lang w:val="en-US" w:eastAsia="zh-CN"/>
        </w:rPr>
      </w:pPr>
    </w:p>
    <w:p w14:paraId="42195339">
      <w:pPr>
        <w:keepNext w:val="0"/>
        <w:keepLines w:val="0"/>
        <w:pageBreakBefore w:val="0"/>
        <w:widowControl w:val="0"/>
        <w:kinsoku/>
        <w:wordWrap/>
        <w:overflowPunct/>
        <w:topLinePunct w:val="0"/>
        <w:autoSpaceDE/>
        <w:autoSpaceDN/>
        <w:bidi w:val="0"/>
        <w:adjustRightInd w:val="0"/>
        <w:snapToGrid w:val="0"/>
        <w:spacing w:line="200" w:lineRule="exact"/>
        <w:ind w:firstLine="624"/>
        <w:textAlignment w:val="auto"/>
        <w:rPr>
          <w:rFonts w:hint="default" w:ascii="Times New Roman" w:hAnsi="Times New Roman" w:cs="Times New Roman"/>
          <w:color w:val="auto"/>
          <w:sz w:val="28"/>
          <w:szCs w:val="28"/>
        </w:rPr>
      </w:pPr>
    </w:p>
    <w:tbl>
      <w:tblPr>
        <w:tblStyle w:val="2"/>
        <w:tblW w:w="148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98"/>
        <w:gridCol w:w="852"/>
        <w:gridCol w:w="1088"/>
        <w:gridCol w:w="2006"/>
        <w:gridCol w:w="2812"/>
        <w:gridCol w:w="1088"/>
        <w:gridCol w:w="637"/>
        <w:gridCol w:w="469"/>
        <w:gridCol w:w="2194"/>
        <w:gridCol w:w="525"/>
        <w:gridCol w:w="581"/>
        <w:gridCol w:w="581"/>
        <w:gridCol w:w="544"/>
        <w:gridCol w:w="525"/>
        <w:gridCol w:w="554"/>
      </w:tblGrid>
      <w:tr w14:paraId="5442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blHeader/>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6A28654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序号</w:t>
            </w:r>
          </w:p>
        </w:tc>
        <w:tc>
          <w:tcPr>
            <w:tcW w:w="852" w:type="dxa"/>
            <w:vMerge w:val="restart"/>
            <w:tcBorders>
              <w:top w:val="single" w:color="000000" w:sz="6" w:space="0"/>
              <w:left w:val="single" w:color="000000" w:sz="6" w:space="0"/>
              <w:right w:val="single" w:color="000000" w:sz="6" w:space="0"/>
              <w:tl2br w:val="nil"/>
              <w:tr2bl w:val="nil"/>
            </w:tcBorders>
            <w:noWrap w:val="0"/>
            <w:vAlign w:val="center"/>
          </w:tcPr>
          <w:p w14:paraId="5BF38C2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项目编码</w:t>
            </w:r>
          </w:p>
        </w:tc>
        <w:tc>
          <w:tcPr>
            <w:tcW w:w="1088" w:type="dxa"/>
            <w:vMerge w:val="restart"/>
            <w:tcBorders>
              <w:top w:val="single" w:color="000000" w:sz="6" w:space="0"/>
              <w:left w:val="single" w:color="000000" w:sz="6" w:space="0"/>
              <w:right w:val="single" w:color="000000" w:sz="6" w:space="0"/>
              <w:tl2br w:val="nil"/>
              <w:tr2bl w:val="nil"/>
            </w:tcBorders>
            <w:noWrap w:val="0"/>
            <w:vAlign w:val="center"/>
          </w:tcPr>
          <w:p w14:paraId="0C52B9D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项目名称</w:t>
            </w:r>
          </w:p>
        </w:tc>
        <w:tc>
          <w:tcPr>
            <w:tcW w:w="2006" w:type="dxa"/>
            <w:vMerge w:val="restart"/>
            <w:tcBorders>
              <w:top w:val="single" w:color="000000" w:sz="6" w:space="0"/>
              <w:left w:val="single" w:color="000000" w:sz="6" w:space="0"/>
              <w:right w:val="single" w:color="000000" w:sz="6" w:space="0"/>
              <w:tl2br w:val="nil"/>
              <w:tr2bl w:val="nil"/>
            </w:tcBorders>
            <w:noWrap w:val="0"/>
            <w:vAlign w:val="center"/>
          </w:tcPr>
          <w:p w14:paraId="003CB79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服务产出</w:t>
            </w:r>
          </w:p>
        </w:tc>
        <w:tc>
          <w:tcPr>
            <w:tcW w:w="2812" w:type="dxa"/>
            <w:vMerge w:val="restart"/>
            <w:tcBorders>
              <w:top w:val="single" w:color="000000" w:sz="6" w:space="0"/>
              <w:left w:val="single" w:color="000000" w:sz="6" w:space="0"/>
              <w:right w:val="single" w:color="000000" w:sz="6" w:space="0"/>
              <w:tl2br w:val="nil"/>
              <w:tr2bl w:val="nil"/>
            </w:tcBorders>
            <w:noWrap w:val="0"/>
            <w:vAlign w:val="center"/>
          </w:tcPr>
          <w:p w14:paraId="55D4570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价格构成</w:t>
            </w:r>
          </w:p>
        </w:tc>
        <w:tc>
          <w:tcPr>
            <w:tcW w:w="1088" w:type="dxa"/>
            <w:vMerge w:val="restart"/>
            <w:tcBorders>
              <w:top w:val="single" w:color="000000" w:sz="6" w:space="0"/>
              <w:left w:val="single" w:color="000000" w:sz="6" w:space="0"/>
              <w:right w:val="single" w:color="000000" w:sz="6" w:space="0"/>
              <w:tl2br w:val="nil"/>
              <w:tr2bl w:val="nil"/>
            </w:tcBorders>
            <w:noWrap w:val="0"/>
            <w:vAlign w:val="center"/>
          </w:tcPr>
          <w:p w14:paraId="6FA1F69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加收项</w:t>
            </w:r>
          </w:p>
        </w:tc>
        <w:tc>
          <w:tcPr>
            <w:tcW w:w="637" w:type="dxa"/>
            <w:vMerge w:val="restart"/>
            <w:tcBorders>
              <w:top w:val="single" w:color="000000" w:sz="6" w:space="0"/>
              <w:left w:val="single" w:color="000000" w:sz="6" w:space="0"/>
              <w:right w:val="single" w:color="000000" w:sz="6" w:space="0"/>
              <w:tl2br w:val="nil"/>
              <w:tr2bl w:val="nil"/>
            </w:tcBorders>
            <w:noWrap w:val="0"/>
            <w:vAlign w:val="center"/>
          </w:tcPr>
          <w:p w14:paraId="090057A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扩展项</w:t>
            </w:r>
          </w:p>
        </w:tc>
        <w:tc>
          <w:tcPr>
            <w:tcW w:w="469" w:type="dxa"/>
            <w:vMerge w:val="restart"/>
            <w:tcBorders>
              <w:top w:val="single" w:color="000000" w:sz="6" w:space="0"/>
              <w:left w:val="single" w:color="000000" w:sz="6" w:space="0"/>
              <w:right w:val="single" w:color="000000" w:sz="6" w:space="0"/>
              <w:tl2br w:val="nil"/>
              <w:tr2bl w:val="nil"/>
            </w:tcBorders>
            <w:noWrap w:val="0"/>
            <w:vAlign w:val="center"/>
          </w:tcPr>
          <w:p w14:paraId="14F1F6E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计价</w:t>
            </w:r>
          </w:p>
          <w:p w14:paraId="49220E5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单位</w:t>
            </w:r>
          </w:p>
        </w:tc>
        <w:tc>
          <w:tcPr>
            <w:tcW w:w="2194" w:type="dxa"/>
            <w:vMerge w:val="restart"/>
            <w:tcBorders>
              <w:top w:val="single" w:color="000000" w:sz="6" w:space="0"/>
              <w:left w:val="single" w:color="000000" w:sz="6" w:space="0"/>
              <w:right w:val="single" w:color="000000" w:sz="6" w:space="0"/>
              <w:tl2br w:val="nil"/>
              <w:tr2bl w:val="nil"/>
            </w:tcBorders>
            <w:noWrap w:val="0"/>
            <w:vAlign w:val="center"/>
          </w:tcPr>
          <w:p w14:paraId="3F4F7C1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计价说明</w:t>
            </w:r>
          </w:p>
        </w:tc>
        <w:tc>
          <w:tcPr>
            <w:tcW w:w="2756" w:type="dxa"/>
            <w:gridSpan w:val="5"/>
            <w:tcBorders>
              <w:top w:val="single" w:color="000000" w:sz="6" w:space="0"/>
              <w:left w:val="single" w:color="000000" w:sz="6" w:space="0"/>
              <w:bottom w:val="single" w:color="000000" w:sz="6" w:space="0"/>
              <w:right w:val="single" w:color="000000" w:sz="6" w:space="0"/>
              <w:tl2br w:val="nil"/>
              <w:tr2bl w:val="nil"/>
            </w:tcBorders>
            <w:noWrap w:val="0"/>
            <w:vAlign w:val="center"/>
          </w:tcPr>
          <w:p w14:paraId="7967ED5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巴中市公立医疗机构价格（元）</w:t>
            </w:r>
          </w:p>
        </w:tc>
        <w:tc>
          <w:tcPr>
            <w:tcW w:w="554" w:type="dxa"/>
            <w:vMerge w:val="restart"/>
            <w:tcBorders>
              <w:top w:val="single" w:color="auto" w:sz="6" w:space="0"/>
              <w:left w:val="single" w:color="000000" w:sz="6" w:space="0"/>
              <w:right w:val="single" w:color="000000" w:sz="6" w:space="0"/>
              <w:tl2br w:val="nil"/>
              <w:tr2bl w:val="nil"/>
            </w:tcBorders>
            <w:noWrap w:val="0"/>
            <w:vAlign w:val="center"/>
          </w:tcPr>
          <w:p w14:paraId="3928B4A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医保支付类别</w:t>
            </w:r>
          </w:p>
        </w:tc>
      </w:tr>
      <w:tr w14:paraId="12B71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blHeader/>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604E91A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p>
        </w:tc>
        <w:tc>
          <w:tcPr>
            <w:tcW w:w="852" w:type="dxa"/>
            <w:vMerge w:val="continue"/>
            <w:tcBorders>
              <w:left w:val="single" w:color="000000" w:sz="6" w:space="0"/>
              <w:bottom w:val="single" w:color="000000" w:sz="6" w:space="0"/>
              <w:right w:val="single" w:color="000000" w:sz="6" w:space="0"/>
              <w:tl2br w:val="nil"/>
              <w:tr2bl w:val="nil"/>
            </w:tcBorders>
            <w:noWrap w:val="0"/>
            <w:vAlign w:val="center"/>
          </w:tcPr>
          <w:p w14:paraId="3663A8B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p>
        </w:tc>
        <w:tc>
          <w:tcPr>
            <w:tcW w:w="1088" w:type="dxa"/>
            <w:vMerge w:val="continue"/>
            <w:tcBorders>
              <w:left w:val="single" w:color="000000" w:sz="6" w:space="0"/>
              <w:bottom w:val="single" w:color="000000" w:sz="6" w:space="0"/>
              <w:right w:val="single" w:color="000000" w:sz="6" w:space="0"/>
              <w:tl2br w:val="nil"/>
              <w:tr2bl w:val="nil"/>
            </w:tcBorders>
            <w:noWrap w:val="0"/>
            <w:vAlign w:val="center"/>
          </w:tcPr>
          <w:p w14:paraId="2FA7DD3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2006" w:type="dxa"/>
            <w:vMerge w:val="continue"/>
            <w:tcBorders>
              <w:left w:val="single" w:color="000000" w:sz="6" w:space="0"/>
              <w:bottom w:val="single" w:color="000000" w:sz="6" w:space="0"/>
              <w:right w:val="single" w:color="000000" w:sz="6" w:space="0"/>
              <w:tl2br w:val="nil"/>
              <w:tr2bl w:val="nil"/>
            </w:tcBorders>
            <w:noWrap w:val="0"/>
            <w:vAlign w:val="center"/>
          </w:tcPr>
          <w:p w14:paraId="5C346F8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2812" w:type="dxa"/>
            <w:vMerge w:val="continue"/>
            <w:tcBorders>
              <w:left w:val="single" w:color="000000" w:sz="6" w:space="0"/>
              <w:bottom w:val="single" w:color="000000" w:sz="6" w:space="0"/>
              <w:right w:val="single" w:color="000000" w:sz="6" w:space="0"/>
              <w:tl2br w:val="nil"/>
              <w:tr2bl w:val="nil"/>
            </w:tcBorders>
            <w:noWrap w:val="0"/>
            <w:vAlign w:val="center"/>
          </w:tcPr>
          <w:p w14:paraId="52525FC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1088" w:type="dxa"/>
            <w:vMerge w:val="continue"/>
            <w:tcBorders>
              <w:left w:val="single" w:color="000000" w:sz="6" w:space="0"/>
              <w:bottom w:val="single" w:color="000000" w:sz="6" w:space="0"/>
              <w:right w:val="single" w:color="000000" w:sz="6" w:space="0"/>
              <w:tl2br w:val="nil"/>
              <w:tr2bl w:val="nil"/>
            </w:tcBorders>
            <w:noWrap w:val="0"/>
            <w:vAlign w:val="center"/>
          </w:tcPr>
          <w:p w14:paraId="401DAD3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637" w:type="dxa"/>
            <w:vMerge w:val="continue"/>
            <w:tcBorders>
              <w:left w:val="single" w:color="000000" w:sz="6" w:space="0"/>
              <w:bottom w:val="single" w:color="000000" w:sz="6" w:space="0"/>
              <w:right w:val="single" w:color="000000" w:sz="6" w:space="0"/>
              <w:tl2br w:val="nil"/>
              <w:tr2bl w:val="nil"/>
            </w:tcBorders>
            <w:noWrap w:val="0"/>
            <w:vAlign w:val="center"/>
          </w:tcPr>
          <w:p w14:paraId="52B1C6D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469" w:type="dxa"/>
            <w:vMerge w:val="continue"/>
            <w:tcBorders>
              <w:left w:val="single" w:color="000000" w:sz="6" w:space="0"/>
              <w:bottom w:val="single" w:color="000000" w:sz="6" w:space="0"/>
              <w:right w:val="single" w:color="000000" w:sz="6" w:space="0"/>
              <w:tl2br w:val="nil"/>
              <w:tr2bl w:val="nil"/>
            </w:tcBorders>
            <w:noWrap w:val="0"/>
            <w:vAlign w:val="center"/>
          </w:tcPr>
          <w:p w14:paraId="1BB5F90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p>
        </w:tc>
        <w:tc>
          <w:tcPr>
            <w:tcW w:w="2194" w:type="dxa"/>
            <w:vMerge w:val="continue"/>
            <w:tcBorders>
              <w:left w:val="single" w:color="000000" w:sz="6" w:space="0"/>
              <w:bottom w:val="single" w:color="000000" w:sz="6" w:space="0"/>
              <w:right w:val="single" w:color="000000" w:sz="6" w:space="0"/>
              <w:tl2br w:val="nil"/>
              <w:tr2bl w:val="nil"/>
            </w:tcBorders>
            <w:noWrap w:val="0"/>
            <w:vAlign w:val="center"/>
          </w:tcPr>
          <w:p w14:paraId="0207B40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6DD4D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三甲</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54951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三乙</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EA054B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二甲</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AB01A3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二乙</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297BC6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二乙</w:t>
            </w:r>
          </w:p>
          <w:p w14:paraId="40D5F21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以下</w:t>
            </w:r>
          </w:p>
        </w:tc>
        <w:tc>
          <w:tcPr>
            <w:tcW w:w="554" w:type="dxa"/>
            <w:vMerge w:val="continue"/>
            <w:tcBorders>
              <w:left w:val="single" w:color="000000" w:sz="6" w:space="0"/>
              <w:bottom w:val="single" w:color="000000" w:sz="6" w:space="0"/>
              <w:right w:val="single" w:color="000000" w:sz="6" w:space="0"/>
              <w:tl2br w:val="nil"/>
              <w:tr2bl w:val="nil"/>
            </w:tcBorders>
            <w:noWrap w:val="0"/>
            <w:vAlign w:val="center"/>
          </w:tcPr>
          <w:p w14:paraId="4CEE219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p>
        </w:tc>
      </w:tr>
      <w:tr w14:paraId="56BD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88"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92384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79114F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013112020010000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CA9D3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产前常规检查</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F71F4C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产前对孕妇进行的规范检查、遗传等咨询解答及有关健康指导。</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EFDA7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所定价格涵盖推算孕周、测量孕妇体重、宫高、腹围、血压及听胎心、孕期触诊， 以及判断胎位状态、胎儿是否符合孕周等孕期检查、分娩前评估和健康指导步骤所需的人力资源和基本物质资源消耗。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ED4311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5EAD8A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09DC5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3D06C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指在门诊/急诊期间对孕妇进行的常规检查及健康指导， 在住院期间对孕/产妇实施价格构成中所列的医疗服务事项，不再单独计费，例如国家卫生健康委制定发布技术规范中所列的“多普勒胎心计数”。</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8CAD4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18</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085BD9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17</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6188BB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45B75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108701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9F3CD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2F8B7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16"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E94F7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8E8317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013112020020000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A9CB9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胎心监测</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95959A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监测胎儿心率及宫缩压力波形实时变化， 达到评估胎儿宫内情况的目的。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DBF35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所定价格涵盖定位、固定探头、 监测、出具报告等所需的人力资源和基本物质资源消耗。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4C85D5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A6FCA3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EE241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C0A5AB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监测的时间要求对照国家卫生健康委《全国医疗服务项目技术规范（ 2023 年版）》相关内容。</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EFD356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521189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6F3538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C3943B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134EA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8.5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DBE15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乙</w:t>
            </w:r>
          </w:p>
        </w:tc>
      </w:tr>
      <w:tr w14:paraId="017CD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26"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435DA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D39D52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013112020030000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DA45E1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胎心监测（ 远 程）</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350026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远程监测胎儿心率及宫缩压力波形实时变化， 达到产妇离院状态下评估胎儿宫内情况的目的。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3F63A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所定价格涵盖定位、固定探头、 监测、出具报告等所需的人力资源和基本物质资源消耗。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553F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251A5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8A280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日</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45B7C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9F9EB0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242393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46</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489711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42</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13024F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36</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4ECE43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34</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36C3E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乙</w:t>
            </w:r>
          </w:p>
        </w:tc>
      </w:tr>
      <w:tr w14:paraId="4734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4"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2E536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F6279A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013112020070000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C78024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催引产</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6F457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通过各种方式促宫颈成熟，以促发临产。</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1EDFB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所定价格涵盖促宫颈成熟等所有必要操作所需的人力资源和基本物质资源消耗。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B9C7FB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C7E7C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59E50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日</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1F58F4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指自然日，不足一个自然日按一个自然日计。</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19E1C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153</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A45E7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591E6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128</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9F9485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76F71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108</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8735A8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4B2FC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15"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F88F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AA1EB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013112020080000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12A4F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产程管理</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DAD6EB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临产后， 进入待产室至第二产程前或阴道试产， 对产妇的产程进展进行管理。</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A21B24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所定价格涵盖观察产妇生命体征、宫缩及宫口扩张情况、监测胎心、判断产程进展、记录产程过程， 给予相应的安抚、指导， 根据需要采取干预措施， 必要时行人工破膜等所需的人力资源和基本物质资源消耗。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A6EE1C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1C8670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8D9755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AA586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第二产程是指从宫口开全至胎儿娩出。</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B9AB1C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280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3D8D91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257</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2B8601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234</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23F2C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211</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D021D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197</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441FC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118E4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6C291BF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072A12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013314000010000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004DB9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 常</w:t>
            </w:r>
          </w:p>
          <w:p w14:paraId="0D22B03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规）</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EE52A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AA0EC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所定价格涵盖自第二产程开始至第四产程结束期间常规经阴道分娩的全过程和必要操作，包括对产妇的密切观察、生产指导、干预措施， 协助胎儿娩出、胎盘娩出， 对脐带、胎盘、胎膜的检查处理， 对产道的检查、会阴侧切、缝合及裂伤修补（ 1-2 度），母婴观察、处理、评分及记录等所需的人力资源和基本物质资源消耗。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6818A2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会阴裂伤修（限 3-4度）</w:t>
            </w:r>
          </w:p>
          <w:p w14:paraId="0F51AB7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02 宫颈裂伤修补</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3E7911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ED3C6C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DF4BCE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527F1C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772</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62EE9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707</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7CD6F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643</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5E2F0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579</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254AD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546</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0C03EF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5693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continue"/>
            <w:tcBorders>
              <w:left w:val="single" w:color="000000" w:sz="6" w:space="0"/>
              <w:right w:val="single" w:color="000000" w:sz="6" w:space="0"/>
              <w:tl2br w:val="nil"/>
              <w:tr2bl w:val="nil"/>
            </w:tcBorders>
            <w:noWrap w:val="0"/>
            <w:vAlign w:val="center"/>
          </w:tcPr>
          <w:p w14:paraId="1504911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2F84F6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013314000010001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98335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 常规） -会阴裂伤修补（ 限3-4 度）（加收）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C12EE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阴道分娩接生及新生儿处理的全过程处置， 并行会阴裂伤修补（限 3-4度）。</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3C2ADB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ED4EB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5C6069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DD2A8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E0116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无论多少胎次，仅加收一次。</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85AE1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DEA18C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2754DD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81086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9DAEB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13EDCE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001C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4F535A5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58215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013314000010002</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9287F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 常规） -宫颈裂伤修补（加 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C41F9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阴道分娩接生及新生儿处理的全过程处置， 并行宫颈裂伤修补。</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75F13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234C2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74AE0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6A9E3E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2E6285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无论多少胎次，仅加收一次。</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6C7D97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9502F3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D4596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C7F3A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E48C5C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D77789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24C2F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12"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9C78AA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2DCBCB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013314000020000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A05BEA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阴道分娩（复杂）</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0D0DE0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产妇或胎儿存在情况复杂、风险较高等情况， 经阴道分娩接生及新生儿处理的全过程处置。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8F76C8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所定价格涵盖自第二产程开始至第四产程结束期间复杂情况经阴道分娩的全过程和必要操作，包括对产妇的密切观察、生产指导、 干预措施，协助胎儿娩出、胎盘娩出，对脐带、胎盘、胎膜的检查处理，对产道的检查、会阴侧切、缝合及裂伤修补（ 1-2 度），母婴观察、处理、评分及记录等所需的人力资源和基本物质资源消耗。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7AD403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会阴裂伤修（限 3-4度）</w:t>
            </w:r>
          </w:p>
          <w:p w14:paraId="3D903F4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02 宫颈裂伤修补</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6E1EE5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3CBD48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C3359E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“阴道分娩（复杂）”是指：产妇或胎儿存在瘢痕子宫、巨大儿、胎儿臀位、肩难产等显著增加阴道分娩难度及风险的情况，或生产过程中医务人员采用胎位旋转、 臀位助产、器械助产、手取胎盘等特殊措施的情况。</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DB8AE5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1346</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2617DE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1234</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2DFA32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1122</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E84BD0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AE0336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953</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C437D5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2DC2A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62"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31B667C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eastAsia"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7</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AC5E8C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013314000020001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FDD65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阴道分娩（复杂）-会阴裂伤修补（ 限3-4 度）（加收）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0A2B58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产妇或胎儿存在情况复杂、风险较高等情况， 经阴道分娩接生及新生儿处理的全过程处置， 并行会阴裂伤修补（限 3-4度）。</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0CDF2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E38C2E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B141F5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F64CF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DEE66A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无论多少胎次，仅加收一次。</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9C9CE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77337C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F554CA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B5F0C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41E417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BB02A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797A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19"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5117CBD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319AB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013314000020002</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D0EEF7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阴道分娩（复杂）-宫颈裂伤修补（加</w:t>
            </w:r>
          </w:p>
          <w:p w14:paraId="3856544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897E54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产妇或胎儿存在情况复杂、风险较高等情况， 经阴道分娩接生及新生儿处理的全过程处置， 宫颈裂伤修补。</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42E08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086E0A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BE23A5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9969A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9E18E0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无论多少胎次，仅加收一次。</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9DFB5E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D3CADF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C4342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ACAEC3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526AD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C9416A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54B80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30"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34FB67E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F1370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013314000030000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8CD47D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剖宫产（常规）</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E239A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产妇难产或不适于阴道分娩， 通过手术方式分娩接生及新生儿处理的全过程处置。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5B83FF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所定价格涵盖常规情况通过手术娩出胎儿的全过程和必要操作，包括切开子宫、娩出胎儿、胎盘处理、清理缝合、止血包扎处理等手术全过程， 新生儿的观察、处理、评分及记录等所需的人力资源和基本物质资源消耗。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4BA96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阴道分娩转剖宫产</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66D048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819843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B554C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2F7DD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1125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BDC58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1031</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3824C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938</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F1D232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844</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9AE2B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797</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D32088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14DCC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7"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42170EF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61C7A8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013314000030001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6A9A23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剖宫产（常规）-阴道分娩转剖宫产（加收）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DE2EE9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产妇难产或不适于阴道</w:t>
            </w:r>
          </w:p>
          <w:p w14:paraId="4B2577B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分娩，阴道分娩转剖宫</w:t>
            </w:r>
          </w:p>
          <w:p w14:paraId="427B447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 通过手术方式分娩接生及新生儿处理的全过程处置。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B81168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EAC665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6A0F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3B377C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632E8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9F54A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F2BE0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EE28CC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32515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D159B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76C643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2ED82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01"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151B116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29E30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013314000040000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3F252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剖宫产（复杂）</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9609B8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产妇难产或不适于阴道</w:t>
            </w:r>
          </w:p>
          <w:p w14:paraId="5DE2DBF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分娩， 且产妇或胎儿存在情况复杂、风险较高等情况， 通过手术方式分娩接生及新生儿处理的全过程处置。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3B07AC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所定价格涵盖复杂情况通过手术娩出胎儿的全过程和必要操作， 包括切开子宫、娩出胎儿、胎盘处理、清理缝合、止血包扎处理等手术全过程， 新生儿的观察、处理、评分及记录等所需的人力资源和基本物质资源消耗。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B4D378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阴道分娩转剖宫产</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60EE9B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D83EF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54043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“剖宫产（复杂）”是指：产妇或胎儿存在前置胎盘、胎盘植入、凝血功能异常、子宫肌瘤（4-5cm 以上）、瘢痕子宫、胎儿横位、胎儿臀位、产程中剖宫产、腹膜外妊娠等显著增加剖宫产实施难度及风险的情况。</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DAFBB0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1445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8645F5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1325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F5025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1205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29D871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1084</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2BC36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1024</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F856D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26054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01"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14D7640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1B5E9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013314000040001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AFBCF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剖宫产（复杂） -阴道分娩转剖宫产（加收）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C7BA1B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产妇难产或不适于阴道</w:t>
            </w:r>
          </w:p>
          <w:p w14:paraId="2519FD5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分娩，阴道分娩转剖宫</w:t>
            </w:r>
          </w:p>
          <w:p w14:paraId="5CB6E5C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 且产妇或胎儿存在情况复杂、风险较高等情况， 通过手术方式分娩接生及新生儿处理的全过程处置。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743BB6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A9014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FACA7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1D2A6F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6FC35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“剖宫产（复杂）”是指：产妇或胎儿存在前置胎盘、胎盘植入、凝血功能异常、子宫肌瘤（4-5cm 以上）、瘢痕子宫、胎儿横位、胎儿臀位、产程中剖宫产、腹膜外妊娠等显著增加剖宫产实施难度及风险的情况。</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9BFDC0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1A7437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851AF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7AC43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6B8D4A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A05A51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4B3C1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237EE4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D44359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013112020090000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03B0CD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分娩镇痛</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6A7836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采用麻醉镇痛，以起到减轻产妇分娩过程疼痛，提高分娩质量及舒适度，保证孕产安全的作用。</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FCB68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所定价格涵盖评估、建立通路、 摆放体位、穿刺、置管、剂量验证、观察、注药、氧饱和度监测、装置连接、参数设定、评分、记录、 分析病情， 必要时调整剂量、撤除装置等所需的人力资源和基本物质资源消耗。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DC69A2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2A218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897791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小时</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ED5442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以2小时为基价，超过2小时每增加1小时按</w:t>
            </w:r>
            <w:r>
              <w:rPr>
                <w:rFonts w:hint="eastAsia" w:ascii="Times New Roman" w:hAnsi="Times New Roman" w:eastAsia="宋体" w:cs="Times New Roman"/>
                <w:color w:val="000000"/>
                <w:sz w:val="20"/>
                <w:szCs w:val="20"/>
                <w:lang w:val="en-US" w:eastAsia="zh-CN"/>
              </w:rPr>
              <w:t>108</w:t>
            </w:r>
            <w:r>
              <w:rPr>
                <w:rFonts w:hint="default" w:ascii="Times New Roman" w:hAnsi="Times New Roman" w:eastAsia="宋体" w:cs="Times New Roman"/>
                <w:color w:val="000000"/>
                <w:sz w:val="20"/>
                <w:szCs w:val="20"/>
              </w:rPr>
              <w:t>元收取，加收总费用不超过1</w:t>
            </w:r>
            <w:r>
              <w:rPr>
                <w:rFonts w:hint="eastAsia" w:ascii="Times New Roman" w:hAnsi="Times New Roman" w:eastAsia="宋体" w:cs="Times New Roman"/>
                <w:color w:val="000000"/>
                <w:sz w:val="20"/>
                <w:szCs w:val="20"/>
                <w:lang w:val="en-US" w:eastAsia="zh-CN"/>
              </w:rPr>
              <w:t>220</w:t>
            </w:r>
            <w:r>
              <w:rPr>
                <w:rFonts w:hint="default" w:ascii="Times New Roman" w:hAnsi="Times New Roman" w:eastAsia="宋体" w:cs="Times New Roman"/>
                <w:color w:val="000000"/>
                <w:sz w:val="20"/>
                <w:szCs w:val="20"/>
              </w:rPr>
              <w:t>元。</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AB2764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898</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F0DBB7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822</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FE153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748</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EC8D33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710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F58C33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673</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DC9CD9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1468A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94BAD8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5D89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013112020100000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0407D9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导乐分娩</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E90D7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由专业人员给予孕妇导</w:t>
            </w:r>
          </w:p>
          <w:p w14:paraId="23B9A4C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乐相关知识讲解及陪伴，进行合理用力及分娩配合指导。</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5CC22C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应用呼吸减痛、分娩球、腰骶按摩、自由体位等非药物方法减轻分娩疼痛、协助产程进展， 给予产妇生活照护和陪伴， 在导乐过程中随时观察产程进展等所需的人力资源和基本物质资源消耗。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C7D431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56567C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E41524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F33E28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实行市场调节价。</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F1BE99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E042C2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6EAC2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B61A98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1D400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AA1DBD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74A93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43E073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76A3B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013112020110000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AF83A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亲情陪产</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2F6746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产妇在孕产过程中， 由医务人员指导家属进入产房陪同孕产， 直至胎儿娩出。</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FCCAE9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陪产过程中所需的基本物质资源消耗。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DFB8B1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A35AC2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7D378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C3BB04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实行市场调节价。</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4F943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0A04E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AA701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08DFB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2A8522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3891BA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51AB3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9A76CA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5DC7B2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013112020120000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BA25C8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胎儿外倒转</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31CB0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纠正异常胎位（臀位、横位），创造顺产条件。</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FBA04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所定价格涵盖评估、胎位矫正、包扎固定、术后孕妇观察等胎儿外倒转所有必要操作所需的人力资源和基本物质资源消耗。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3F7FB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F37D4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0B1AF7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92C9F7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5C680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69</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5278A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6EC115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57420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46A15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42.5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CD1B62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06DF0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32E2810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241BA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013314000050000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240AD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宫颈环扎术（常规）</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EB278D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对宫颈机能不全的治疗，达到延长孕周， 维持胎儿存活目的。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4C82F8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所定价格涵盖消毒、宫颈固定、 缝合、拆线， 必要时胎膜复位等宫颈环扎术所有必要操作所需的人力资源和基本物质资源消耗。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C2F328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66745E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BF1C5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A34473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08FEFF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264</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9C36A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240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22EC3B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220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4AA24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421398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170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5424B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531A2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780F884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DA0FD3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013314000050001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D44697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宫颈环扎术（常规）-内镜下辅助操作（加收）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34602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对宫颈机能不全的内镜下治疗，达到延长孕周，维持胎儿存活目的。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1CF7C1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97EBD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22E8B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60BD9C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A0593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3CE83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1BFDF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EBC22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AB58E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CBEB0B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01A0DC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281FB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6F85A1C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B39DDB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013314000060000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045BE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宫颈环扎术（特殊）</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942F80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对宫口扩张 3cm 以上等特殊情况的紧急环扎治疗， 达到延长孕周，维持胎儿存活目的。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B1DA6C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所定价格涵盖消毒、宫颈固定、 缝合、拆线， 必要时胎膜复位等宫颈环扎术所有必要操作所需的人力资源和基本物质资源消耗。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89425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8A9182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2077CC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D9567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A5D6F2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602</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C21E37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552</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4B73BB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502</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D3C94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452</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86AC73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426</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5D7DCA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6CDCC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4102794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6656B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013314000060001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0847F7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宫颈环扎术（特殊）-内镜下辅助操作（加收）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6BF96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对宫口扩张 3cm 以上等特殊情况的紧急环扎内镜下治疗，达到延长孕周，维持胎儿存活目的。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15DECC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171FB1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9C3868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C9DC07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F79D5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2C1AE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0B00BA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99580A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411DA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5E501F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26E94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71AA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F37C4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16</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BA073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013112020130000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C78111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产时宫外治疗</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DFFB0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在生产过程中对有呼吸道梗阻和胸部疾病的胎儿进行处理， 达到安全生产的目的。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80E92B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所定价格涵盖消毒、气管插管/气管切开、采取措施避免胎盘过早剥离、胎儿手术等必要操作所需的人力资源和基本物质资源消耗。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C9965B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5D2B9B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25366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74F31B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A6FB35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1359</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B25055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1245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F5F4C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1133</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0F45D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1018</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77482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956</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219FC2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19358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5D0488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17</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99B3B8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013112020140000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3E63A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胎儿宫内输血</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DC7FFD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在宫腔内对胎儿进行输血治疗。</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E25821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所定价格涵盖穿刺、抽血、输血等胎儿宫内输血所有必要操作所需的人力资源和基本物质资源消耗。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94B52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85D4BC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E82123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450690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5F12D7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1169</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97C7F7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1071</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F6566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975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5970BB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877</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941EAA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823</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BAFDEB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3E0D7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7"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36E50CF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18</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04D10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013112020150000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2E640C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胎盘血管交通支凝固治疗</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244E3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在宫腔内利用各种能量源对胎儿的胎盘血管交通支进行凝固治疗。</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31F25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所定价格涵盖穿刺、内镜置入、 观察、凝结胎盘血管交通支、撤除等胎盘血管交通支凝固治疗所有必要操作所需的人力资源和基本物质资源消耗。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C487F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B600A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85E5C8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9C2C8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4964EE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3629</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1A34A6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3327</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3C469D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3025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CB656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2722</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781822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2555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89D88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73707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4DF7E0F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9CF0E7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013112020150001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0971A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胎盘血管交通支凝固治疗--内镜下辅助操作（加收）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44222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在宫腔内利用各种能量源对胎儿的胎盘血管交通支进行内镜下凝固治疗。</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6AA908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86306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B10C82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2161A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445CD1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BC3EA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C9ADE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52CD6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EB881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2AC6E3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E6D2B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16E1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2A40D3A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19</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20A6F5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013112020160000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EA21E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羊水调节</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1F607C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经羊膜腔穿刺对羊水进行抽吸、引流、灌注、置换， 达到维持胎儿生长环境稳定的目的。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B8E3A9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所定价格涵盖定位、消毒、穿刺、抽吸/灌注、放置引流管等羊水调节所有必要操作所需人力资源和基本物质资源消耗。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5463F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0A7038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914C46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C25AF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81237D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628</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97EB0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576</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0B77E1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524</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5717A9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471</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35EA5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443</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56E9F4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72A9A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6171B9F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B10AFF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013112020160001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CC6479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羊水调节-内镜下辅助操作（加收）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287AED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经羊膜腔穿刺内镜下对羊水进行抽吸、引流、灌注、置换， 达到维持胎儿生长环境稳定的目的。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17DF86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B1C33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F74715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9AE55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33AA5E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80DA01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832A5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81C57A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8AA82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D92564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8438A6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33A4D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7848A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3D9F0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013112020170000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683B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子宫压迫止血</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DD4A3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经药物等保守治疗无效，需要压迫止血，达到止血目的。</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F840E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所定价格涵盖扩张宫口、探查宫腔并清宫、填塞宫腔或缝合、压迫止血， 必要时材料取出等所需的人力资源和基本物质资源消耗。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E29EDC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F7E56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C7E6A0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0D5A2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657103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274</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C96C13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251</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3DD431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229</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38EB6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206</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9D6FA5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192</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15FC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1E1F2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B4271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21</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5681F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013112020040000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D7411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羊膜腔穿刺</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A1A720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经羊膜腔获取检测样本，用于产前诊断。</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0592E0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所定价格涵盖定位、消毒、穿刺、取样、观察等羊膜腔穿刺所有必要操作所需人力资源和基本物质资源消耗。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DDB98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61523D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羊</w:t>
            </w:r>
          </w:p>
          <w:p w14:paraId="0854805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膜腔穿</w:t>
            </w:r>
          </w:p>
          <w:p w14:paraId="627DFD4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刺注药</w:t>
            </w: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349163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2D8E7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4DD4C2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5B8629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0D9CB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D2318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825B57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87FB4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5CE9E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7944C38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21</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073956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013112020040001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E1300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羊膜腔穿刺-内镜下辅助操作（加收）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9C9EF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经羊膜腔内镜下获取检测样本，用于产前诊断。</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AC496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69DC52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E3097E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7BC6DD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AAA064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42ECC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1626C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0B074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ADA2A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910D9F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077E48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7FB39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35954CC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38E87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013112020040100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62EAB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羊膜腔穿刺-羊膜腔穿刺注药（扩展）</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98958D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经羊膜腔穿刺注药。</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518FDA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所定价格涵盖定位、消毒、穿刺、注药、取样、观察等羊膜腔穿刺所有必要操作所需人力资源和基本物质资源消耗。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A5EF5E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FE20C9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21E4CA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C86AE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BDADAF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5FB23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C4DD0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96E541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5898B7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0831B1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6FB39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C85F97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22</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315F8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013112020180000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E18E1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脐静脉穿刺</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98DB8A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经羊膜腔获取胎儿脐静脉血。</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45446D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所定价格涵盖定位、消毒、穿刺、抽血等脐静脉穿刺所有必要操作所需的人力资源和基本物质资源消耗。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29771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1B271A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7CC6F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AE9C2A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9BAA8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137</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ED6E8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19AC73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114</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8AF32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108</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A824D7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102</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92A9E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38A63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992C7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23</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AB690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013112020050000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B14B6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绒毛取材</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1A2256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穿刺获取胎盘绒毛样本。</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588538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所定价格涵盖定位、消毒、穿刺、取材等绒毛取材所有必要操作所需的人力资源和基本物质资源消耗。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CB1D5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D46E4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D715BE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1B9DE3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CD9427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141</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640BDA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129</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9EEC0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118</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50966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112</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2C303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106</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F6F442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18C7A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8"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3A236F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24</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C15A6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013112020060000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927CA1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胎儿内镜检查</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BE0ABD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经内镜观察宫内胎儿及胎盘情况。</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1F08D4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所定价格涵盖定位、内镜置入、观察、撤除等， 必要时取样等操作所需的人力资源和基本物质资源消耗。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32D7CA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CA988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7BDA7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871968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559351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568</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678CD0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522</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7D54C4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474</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67F1A3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427</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1775A1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400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D7EDD6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67810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28"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57E29EF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7BFCD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013314000070000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0EF7A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院外分娩产后处置</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EE8CD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产妇于院外娩出胎儿后，在院内对产妇和新生儿进行的产后处理。</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FF174E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所定价格涵盖第三产程开始的脐带和胎盘处理，会阴裂伤修补（ 1-2度）、侧切及缝合、胎儿娩出后母婴观察等院外分娩产后处置所有必要操作所需的人力资源和基本物质资源消耗。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1FE34D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会阴裂伤修（限 3-4度）</w:t>
            </w:r>
          </w:p>
          <w:p w14:paraId="659F3B6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02 宫颈裂伤修补</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954C33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4FCED1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30A8F3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ABCCA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442</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2959BF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405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36C0B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369</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D66A18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332</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7879A1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313</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E95FDE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10292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31"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6E4F0E2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E6A738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013314000070001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BC14CA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院外分娩产后处置-会阴裂伤修补（限3-4 度）（加收）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B3B3E4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产妇于院外娩出胎儿后，在院内对产妇和新生儿进行的产后处理， 并行会阴裂伤修补（限 3-4 度）。</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A0A93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12F0B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3FA183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D1C3CD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325286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794127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3A3788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268BA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DDDA0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5FABF6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447F7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3BBE6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E3EB37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25</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15A8ED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013314000070002</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84817F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院外分娩产后处置-宫颈裂伤修补（加收）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691E8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产妇于院外娩出胎儿后，在院内对产妇和新生儿进行的产后处理， 并行宫颈裂伤修补。</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0925EF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18F21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FDDA1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CC859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DC8F0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1C3DC2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9E61B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3038D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60AE2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F305DF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311623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50058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D8F7BA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26</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B9C2A0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013112020190000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A84138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药物减胎</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75DC83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因孕妇要求或医学指征，通过药物终止多胎妊娠中某一或两个（及以上）胎儿的发育。</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58BE0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所定价格涵盖消毒、穿刺、注药等药物减胎所有必要操作所需的人力资源和基本物质资源消耗。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99574F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F881CB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3E6A94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9E575D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7C69F5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1680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321B01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1540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EA1AB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1400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94EE0E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1260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55DCCF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w:t>
            </w:r>
            <w:r>
              <w:rPr>
                <w:rFonts w:hint="eastAsia" w:ascii="Times New Roman" w:hAnsi="Times New Roman" w:eastAsia="宋体" w:cs="Times New Roman"/>
                <w:color w:val="000000"/>
                <w:sz w:val="20"/>
                <w:szCs w:val="20"/>
                <w:lang w:val="en-US" w:eastAsia="zh-CN"/>
              </w:rPr>
              <w:t>8</w:t>
            </w:r>
            <w:r>
              <w:rPr>
                <w:rFonts w:hint="default" w:ascii="Times New Roman" w:hAnsi="Times New Roman" w:eastAsia="宋体" w:cs="Times New Roman"/>
                <w:color w:val="000000"/>
                <w:sz w:val="20"/>
                <w:szCs w:val="20"/>
              </w:rPr>
              <w:t>9</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DBAE0A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00313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restart"/>
            <w:tcBorders>
              <w:top w:val="single" w:color="000000" w:sz="6" w:space="0"/>
              <w:left w:val="single" w:color="000000" w:sz="6" w:space="0"/>
              <w:right w:val="single" w:color="000000" w:sz="6" w:space="0"/>
              <w:tl2br w:val="nil"/>
              <w:tr2bl w:val="nil"/>
            </w:tcBorders>
            <w:noWrap w:val="0"/>
            <w:vAlign w:val="center"/>
          </w:tcPr>
          <w:p w14:paraId="01476B6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27</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4DEF69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013314000080000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A8FBE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手术减胎</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FE48B8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因孕妇要求或医学指征，通过手术终止多胎妊娠中某一或两个（及以上）胎儿的发育。</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1AFE45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所定价格涵盖消毒、确认位置、 穿刺、使用电凝、激光、射频等各种方式进行减胎所需的人力资源和基本物质资源消耗。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BA62C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6E973F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57FA3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51D809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8445EF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1680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7F5EF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1540</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040EFF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1400</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403F1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1260</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57F894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w:t>
            </w:r>
            <w:r>
              <w:rPr>
                <w:rFonts w:hint="eastAsia" w:ascii="Times New Roman" w:hAnsi="Times New Roman" w:eastAsia="宋体" w:cs="Times New Roman"/>
                <w:color w:val="000000"/>
                <w:sz w:val="20"/>
                <w:szCs w:val="20"/>
                <w:lang w:val="en-US" w:eastAsia="zh-CN"/>
              </w:rPr>
              <w:t>8</w:t>
            </w:r>
            <w:r>
              <w:rPr>
                <w:rFonts w:hint="default" w:ascii="Times New Roman" w:hAnsi="Times New Roman" w:eastAsia="宋体" w:cs="Times New Roman"/>
                <w:color w:val="000000"/>
                <w:sz w:val="20"/>
                <w:szCs w:val="20"/>
              </w:rPr>
              <w:t>9</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B286F8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6958A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noWrap w:val="0"/>
            <w:vAlign w:val="center"/>
          </w:tcPr>
          <w:p w14:paraId="59F4120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AC39B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013314000080001</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4E1133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手术减胎-内镜下辅助操作（加收）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BD370C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因孕妇要求或医学指征，通过内镜下手术终止多胎妊娠中某一或两个（及以上）胎儿的发育。</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646EC2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4D7B5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150B1D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5B3A7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4B3AC6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5D389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8E639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6D1C2D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71528F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24F20A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59421EE">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14:paraId="0E551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EB1619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28</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5E8638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013112020200000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B55884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中期引产</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3D717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孕中期通过药物等方式终止胎儿发育， 促宫颈成熟达到临产状态。</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B1EBAD6">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所定价格涵盖消毒、促宫颈成熟、胎儿处理等中期引产所有必要操作所需的人力资源和基本物质资源消耗。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84E01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DF5C2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D582E7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9610BE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孕期“14 周-27 周+6”孕周的适用</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661A58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279</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324BDF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256</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B0B4D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233</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93520D">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209</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50AE34F">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196</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CC2793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018B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E698D4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29</w:t>
            </w:r>
          </w:p>
        </w:tc>
        <w:tc>
          <w:tcPr>
            <w:tcW w:w="85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2CA4464">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013112020210000</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6DABD2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晚期引产</w:t>
            </w:r>
          </w:p>
        </w:tc>
        <w:tc>
          <w:tcPr>
            <w:tcW w:w="20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AE9A8F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孕晚期通过药物等方式终止胎儿发育， 促宫颈成熟达到临产状态。</w:t>
            </w:r>
          </w:p>
        </w:tc>
        <w:tc>
          <w:tcPr>
            <w:tcW w:w="281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735C0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所定价格涵盖消毒、促宫颈成熟、胎儿处理等晚期引产所有必要操作所需的人力资源和基本物质资源消耗。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37DD57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511186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07A6F61">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2981DC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孕期超过“27 周+6”孕周的适用</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C789F1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319</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B28FA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293</w:t>
            </w:r>
          </w:p>
        </w:tc>
        <w:tc>
          <w:tcPr>
            <w:tcW w:w="5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C5A34B">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266</w:t>
            </w:r>
          </w:p>
        </w:tc>
        <w:tc>
          <w:tcPr>
            <w:tcW w:w="5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4EDF3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239</w:t>
            </w:r>
          </w:p>
        </w:tc>
        <w:tc>
          <w:tcPr>
            <w:tcW w:w="52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D081CC0">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225</w:t>
            </w:r>
          </w:p>
        </w:tc>
        <w:tc>
          <w:tcPr>
            <w:tcW w:w="55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350839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14:paraId="24A57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2" w:hRule="atLeast"/>
          <w:jc w:val="center"/>
        </w:trPr>
        <w:tc>
          <w:tcPr>
            <w:tcW w:w="398"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1E9CCBC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852"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184BC31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013112020220000</w:t>
            </w:r>
          </w:p>
        </w:tc>
        <w:tc>
          <w:tcPr>
            <w:tcW w:w="1088"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60251545">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死胎接生</w:t>
            </w:r>
          </w:p>
        </w:tc>
        <w:tc>
          <w:tcPr>
            <w:tcW w:w="2006"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63CFA43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死胎娩出及处理全过程，不含尸体处理。</w:t>
            </w:r>
          </w:p>
        </w:tc>
        <w:tc>
          <w:tcPr>
            <w:tcW w:w="2812"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501028A3">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所定价格涵盖消毒、协助娩出、 胎盘处置， 必要时使用器械助产等死胎接生所有必要操作所需的人力资源和基本物质资源消耗。</w:t>
            </w:r>
          </w:p>
        </w:tc>
        <w:tc>
          <w:tcPr>
            <w:tcW w:w="1088"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0E33793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01C56BE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573E8CFA">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1482588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64F04239">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698</w:t>
            </w:r>
          </w:p>
        </w:tc>
        <w:tc>
          <w:tcPr>
            <w:tcW w:w="581"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7C69F258">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640</w:t>
            </w:r>
          </w:p>
        </w:tc>
        <w:tc>
          <w:tcPr>
            <w:tcW w:w="581"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4BC67442">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582</w:t>
            </w:r>
          </w:p>
        </w:tc>
        <w:tc>
          <w:tcPr>
            <w:tcW w:w="544"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6A5176A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552</w:t>
            </w:r>
          </w:p>
        </w:tc>
        <w:tc>
          <w:tcPr>
            <w:tcW w:w="525"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2D0E23AC">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523</w:t>
            </w:r>
          </w:p>
        </w:tc>
        <w:tc>
          <w:tcPr>
            <w:tcW w:w="554" w:type="dxa"/>
            <w:tcBorders>
              <w:top w:val="single" w:color="000000" w:sz="6" w:space="0"/>
              <w:left w:val="single" w:color="000000" w:sz="6" w:space="0"/>
              <w:bottom w:val="single" w:color="auto" w:sz="6" w:space="0"/>
              <w:right w:val="single" w:color="000000" w:sz="6" w:space="0"/>
              <w:tl2br w:val="nil"/>
              <w:tr2bl w:val="nil"/>
            </w:tcBorders>
            <w:noWrap w:val="0"/>
            <w:vAlign w:val="center"/>
          </w:tcPr>
          <w:p w14:paraId="23E554A7">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bl>
    <w:p w14:paraId="4484A690"/>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4D1046"/>
    <w:rsid w:val="554D1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624"/>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2026-01-16T03:57:00Z</dcterms:created>
  <dc:creator>北梦木兮</dc:creator>
  <cp:lastModifiedBy>北梦木兮</cp:lastModifiedBy>
  <dcterms:modified xsi:type="dcterms:W3CDTF">2026-01-16T03:57:34Z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53C7919A06D049F49AD6B7E799482E31_11</vt:lpwstr>
  </property>
  <property fmtid="{D5CDD505-2E9C-101B-9397-08002B2CF9AE}" pid="4" name="KSOTemplateDocerSaveRecord">
    <vt:lpwstr>eyJoZGlkIjoiOWM1MjExOTc3ZTMxNWNiNmQ5M2QxNjU0ZDZlNjEwNTQiLCJ1c2VySWQiOiI0MzY4MjY4OTQifQ==</vt:lpwstr>
  </property>
</Properties>
</file>