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27FE3">
      <w:pPr>
        <w:adjustRightInd w:val="0"/>
        <w:snapToGrid w:val="0"/>
        <w:spacing w:line="600" w:lineRule="exact"/>
        <w:ind w:left="0" w:leftChars="0" w:firstLine="0" w:firstLineChars="0"/>
        <w:rPr>
          <w:rFonts w:hint="default" w:ascii="Times New Roman" w:hAnsi="Times New Roman" w:eastAsia="黑体" w:cs="Times New Roman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Cs w:val="32"/>
          <w:lang w:val="en-US" w:eastAsia="zh-CN"/>
        </w:rPr>
        <w:t>1</w:t>
      </w:r>
    </w:p>
    <w:p w14:paraId="415E050E"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000000"/>
          <w:sz w:val="36"/>
          <w:szCs w:val="36"/>
          <w:lang w:eastAsia="zh-CN"/>
        </w:rPr>
        <w:t>巴中市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  <w:t>血液系统类医疗服务项目价格及医保支付类别表</w:t>
      </w:r>
    </w:p>
    <w:bookmarkEnd w:id="0"/>
    <w:p w14:paraId="681A8C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tbl>
      <w:tblPr>
        <w:tblStyle w:val="5"/>
        <w:tblW w:w="15404" w:type="dxa"/>
        <w:jc w:val="center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4"/>
      </w:tblGrid>
      <w:tr w14:paraId="12E3A1D9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4" w:type="dxa"/>
            <w:noWrap w:val="0"/>
            <w:vAlign w:val="top"/>
          </w:tcPr>
          <w:p w14:paraId="40C65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</w:rPr>
              <w:t>使用说明：</w:t>
            </w:r>
          </w:p>
          <w:p w14:paraId="08CF6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</w:rPr>
              <w:t>1. 所定价格属于政府指导价，为最高限价，下浮不限；同时，医疗机构、医务人员有关创新改良，可以采取“现有项目兼容”的方式简化处理，无需申报新增医疗服务价格项目。</w:t>
            </w:r>
          </w:p>
          <w:p w14:paraId="62ECB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</w:rPr>
              <w:t>2.“价格构成”指项目价格应涵盖的各类资源消耗，用于确定计价单元的边界，是各级医疗保障部门制定调整项目价格考虑的测算因子，不应作为临床技术标准理解，不是实际操作方式、路径、步骤、程序的强制性要求。价格构成中包含，但个别临床实践中非必要、未发生的，无需强制要求公立医疗机构减计费用。所列“设备投入”包括但不限于操作设备、器械及固定资产投入。</w:t>
            </w:r>
          </w:p>
          <w:p w14:paraId="376DC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</w:rPr>
              <w:t>3.“加收项”指同一项目以不同方式提供或在不同场景应用时，确有必要制定差异化收费标准而细分的一类子项，包括在原项目价格基础上增加或减少收费的情况，具体的加/减收标准（加/减收率或加/减收金额）由各地依权限制定。实际应用中，同时涉及多个加收项的，以项目单价为基础计算各项的加/减收水平后，求和得出加/减收金额。</w:t>
            </w:r>
          </w:p>
          <w:p w14:paraId="1D1EA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</w:rPr>
              <w:t>4.“扩展项”指同一项目下以不同方式提供或在不同场景应用时，只扩展价格项目适用范围、不额外加价的一类子项，子项的价格按主项目执行。</w:t>
            </w:r>
          </w:p>
          <w:p w14:paraId="644E3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</w:rPr>
              <w:t>5.“基本物质资源消耗”指原则上限于不应或不必要与医疗服务项目分割的易耗品，包括但不限于各类消毒用品、储存用品、清洁用品、个人防护用品、标签、垃圾处理用品、腕带、病历纸张、冲洗液、润滑剂、滑石粉、一般物理检查器具、治疗巾（单）、棉球、棉签、纱布（垫）、治疗护理盘（包）、普通注射器、护（尿）垫、中单、冲洗工具、备皮工具、灌注器、输液贴、辅助试剂及辅料、包裹单（袋）、软件的版权、开发、购买等。基本物质资源消耗成本计入项目价格，不另行收费。</w:t>
            </w:r>
          </w:p>
          <w:p w14:paraId="18CFB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</w:rPr>
              <w:t>6.考虑到免疫细胞相关治疗目前尚属于临床试验阶段，待国家卫生健康主管部门批准开展后增设项目。</w:t>
            </w:r>
          </w:p>
          <w:p w14:paraId="13726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</w:rPr>
              <w:t>7.计价单位“袋”指单一包装，不涉及具体毫升数。</w:t>
            </w:r>
          </w:p>
          <w:p w14:paraId="2DDCB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</w:rPr>
              <w:t>8.血浆置换、血浆吸附等相关项目按泌尿系统类立项指南项目收费。</w:t>
            </w:r>
          </w:p>
          <w:p w14:paraId="3747E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</w:rPr>
              <w:t>9. 涉及“包括……”“……等”的，属于开放型表述，所指对象不仅局限于表述中列明的事项，也包括未列明的同类事项。</w:t>
            </w:r>
          </w:p>
          <w:p w14:paraId="31B82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</w:rPr>
              <w:t>10.在诊疗项目服务中，除另有规定的，不足一个计价单位的按一个计价单位计算。</w:t>
            </w:r>
          </w:p>
        </w:tc>
      </w:tr>
    </w:tbl>
    <w:tbl>
      <w:tblPr>
        <w:tblStyle w:val="4"/>
        <w:tblW w:w="153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8"/>
        <w:gridCol w:w="1184"/>
        <w:gridCol w:w="1014"/>
        <w:gridCol w:w="1792"/>
        <w:gridCol w:w="2617"/>
        <w:gridCol w:w="672"/>
        <w:gridCol w:w="697"/>
        <w:gridCol w:w="698"/>
        <w:gridCol w:w="1910"/>
        <w:gridCol w:w="778"/>
        <w:gridCol w:w="619"/>
        <w:gridCol w:w="645"/>
        <w:gridCol w:w="645"/>
        <w:gridCol w:w="780"/>
        <w:gridCol w:w="894"/>
      </w:tblGrid>
      <w:tr w14:paraId="236B8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Header/>
          <w:jc w:val="center"/>
        </w:trPr>
        <w:tc>
          <w:tcPr>
            <w:tcW w:w="4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C53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1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473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10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53E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</w:t>
            </w:r>
          </w:p>
          <w:p w14:paraId="4E601E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</w:t>
            </w:r>
          </w:p>
        </w:tc>
        <w:tc>
          <w:tcPr>
            <w:tcW w:w="17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EDD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服务产出</w:t>
            </w:r>
          </w:p>
        </w:tc>
        <w:tc>
          <w:tcPr>
            <w:tcW w:w="26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162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价格构成</w:t>
            </w:r>
          </w:p>
        </w:tc>
        <w:tc>
          <w:tcPr>
            <w:tcW w:w="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43D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加收项 </w:t>
            </w:r>
          </w:p>
        </w:tc>
        <w:tc>
          <w:tcPr>
            <w:tcW w:w="6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7B6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扩展项 </w:t>
            </w:r>
          </w:p>
        </w:tc>
        <w:tc>
          <w:tcPr>
            <w:tcW w:w="6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A63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计价单位 </w:t>
            </w:r>
          </w:p>
        </w:tc>
        <w:tc>
          <w:tcPr>
            <w:tcW w:w="19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48C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计价说明</w:t>
            </w:r>
          </w:p>
        </w:tc>
        <w:tc>
          <w:tcPr>
            <w:tcW w:w="34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E7C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巴中市公立医疗机构价格（元）</w:t>
            </w:r>
          </w:p>
        </w:tc>
        <w:tc>
          <w:tcPr>
            <w:tcW w:w="8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932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医保支付类别</w:t>
            </w:r>
          </w:p>
        </w:tc>
      </w:tr>
      <w:tr w14:paraId="10380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" w:hRule="atLeast"/>
          <w:tblHeader/>
          <w:jc w:val="center"/>
        </w:trPr>
        <w:tc>
          <w:tcPr>
            <w:tcW w:w="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7A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A6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8B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E6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E8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3A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7C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1B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1A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33E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三甲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0C7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三乙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4B4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二甲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8D1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二乙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A40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二乙</w:t>
            </w:r>
          </w:p>
          <w:p w14:paraId="7434FA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以下</w:t>
            </w:r>
          </w:p>
        </w:tc>
        <w:tc>
          <w:tcPr>
            <w:tcW w:w="8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22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18C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F556C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3779D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013108000010000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016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骨髓采集费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08C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通过反复多次采集骨髓血用于提取干细胞。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2E4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所定价格涵盖消毒、定位、穿刺、抽取骨髓血、抗凝、过滤、样本留取、封口、称重、处理用物等步骤所需的人力资源和基本物质资源消耗。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BE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C5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9B3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633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“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次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”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指采集量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≤400ml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，每增加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100ml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加收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25%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。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0E8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1944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064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1782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1DF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1620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589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1458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791CDD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1296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943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甲类</w:t>
            </w:r>
          </w:p>
        </w:tc>
      </w:tr>
      <w:tr w14:paraId="6CA9B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04261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447E5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013108000020000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2C5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血细胞单采费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99B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对血液成分（如单个核细胞、白细胞、悬浮红细胞、血小板等）进行单采分离，获取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/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去除目标成分。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D98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所定价格涵盖穿刺、抽血、血细胞成分去除或分离、回输、处理用物等步骤所需的人力资源、设备运转成本与基本物质资源消耗。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8B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C0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strike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21A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次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3D2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1.“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次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”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指循环量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≤2000ml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，每增加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1000ml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加收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460</w:t>
            </w:r>
            <w:r>
              <w:rPr>
                <w:rStyle w:val="10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元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。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2.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血浆置换、血浆吸附等相关项目按泌尿系统类立项指南项目收费。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09D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1530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911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1400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562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1280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C2E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1150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44A4C9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1024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54C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甲类</w:t>
            </w:r>
          </w:p>
        </w:tc>
      </w:tr>
      <w:tr w14:paraId="1AE8B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5" w:hRule="atLeast"/>
          <w:jc w:val="center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506C3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48C9D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013108000030000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9B9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自体备血采集费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8AE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通过采集备血者一定量的血液，用于备血者本人后续治疗。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2D1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所定价格涵盖审核、材料准备、消毒、穿刺、采血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/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收集血、抗凝、过滤、装袋、称重、保存、处理用物等步骤所需的人力资源和基本物质资源消耗。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52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41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873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次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D2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767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34.8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A30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31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2D0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29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7EA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585BED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23.8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8347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甲类</w:t>
            </w:r>
          </w:p>
        </w:tc>
      </w:tr>
      <w:tr w14:paraId="2800F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16F57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18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45344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013108000040000</w:t>
            </w:r>
          </w:p>
        </w:tc>
        <w:tc>
          <w:tcPr>
            <w:tcW w:w="101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40B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干细胞成分去除费</w:t>
            </w:r>
          </w:p>
        </w:tc>
        <w:tc>
          <w:tcPr>
            <w:tcW w:w="17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C82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对骨髓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/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外周血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/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脐带血等各种干细胞移植物中的特定成分（如红细胞、血浆或血浆中特定成分等）进行分离和去除。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D43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所定价格涵盖准备、沉降、分离、再次混匀、封存、标记、处理用物等步骤所需的人力资源、设备运转成本与基本物质资源消耗。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0B5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AA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strike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EA1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成分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3E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F6C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1800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02A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1650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749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1500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203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1329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4684BC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1267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B60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乙类</w:t>
            </w:r>
          </w:p>
        </w:tc>
      </w:tr>
      <w:tr w14:paraId="60037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6F1CC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26C10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013108000050000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91E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干细胞分离制备费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521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通过从骨髓、外周血、脐带血等来源中分离制备提取干细胞。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6DF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所定价格涵盖准备、分离、提取干细胞、计数、装袋、封口、处理用物等步骤所需的人力资源、设备运转成本与基本物质资源消耗。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5C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E0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065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袋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3F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18B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2057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5E7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1881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4F7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1713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A46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1535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45BF2A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1371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8DA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乙类</w:t>
            </w:r>
          </w:p>
        </w:tc>
      </w:tr>
      <w:tr w14:paraId="46753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" w:hRule="atLeast"/>
          <w:jc w:val="center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C7851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E435A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013108000060000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7F9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干细胞冷冻费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B9A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将制备后的干细胞进行冷冻。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B87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所定价格涵盖计数、转移至冷冻载体、冷冻、处理用物等步骤所需的人力资源、设备运转成本与基本物质资源消耗。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1C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DA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strike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D1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袋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96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199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86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291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79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E6F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72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97F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65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34386E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58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0A1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丙类</w:t>
            </w:r>
          </w:p>
        </w:tc>
      </w:tr>
      <w:tr w14:paraId="5E5A0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0" w:hRule="atLeast"/>
          <w:jc w:val="center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954C7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F6559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013108000070000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EA3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干细胞冷冻续存费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1FE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将冷冻后的干细胞持续冻存。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E3B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所定价格涵盖将冷冻后的干细胞持续冻存至解冻复苏前，或约定截止保存时间期间所需的人力资源、设备运转成本与基本物质资源消耗。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DE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71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strike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8D9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袋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•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日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F3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2D9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4.5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564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3.6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108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3.6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753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3.6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1DEBA6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2.7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41A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丙类</w:t>
            </w:r>
          </w:p>
        </w:tc>
      </w:tr>
      <w:tr w14:paraId="43398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jc w:val="center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B3F09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AE6E9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013108000080000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775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干细胞回输费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F1D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将干细胞重新输注到体内。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A81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所定价格涵盖准备、解冻、计数、输注、观察、处理用物等步骤所需的人力资源和基本物质资源消耗。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91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91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strike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AC6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袋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B1F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7C9E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178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5BD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163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330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148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C0B0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141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0F1393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134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0A8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乙类</w:t>
            </w:r>
          </w:p>
        </w:tc>
      </w:tr>
      <w:tr w14:paraId="3B7AC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1B2C8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FBBFF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013108000090000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D82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造血干细胞移植费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886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通过植入健康的造血干细胞，改善造血功能异常。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FB8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所定价格涵盖移植方案制定、进入移植舱后相关准备、解冻、细胞回输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/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注射、观察、效果评估、处理用物等步骤所需的人力资源和基本物质资源消耗。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ACF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FE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CE1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次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994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1.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不可与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“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干细胞回输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”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同时收取。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2.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每例患者住院周期内仅可收取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1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次，不可按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“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袋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”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或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“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毫升数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”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收费。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F44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2878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FC4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2693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D51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2412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4FF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2034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5DF706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1880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0BE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乙类</w:t>
            </w:r>
          </w:p>
        </w:tc>
      </w:tr>
      <w:tr w14:paraId="42E2D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C8BA1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1C1B4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013108000100000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06B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血液辐照费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205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通过放射线对供血进行辐照处理。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03D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所定价格涵盖审核、血制品准备、照射、处理用物等步骤所需的人力资源、设备运转成本与基本物质资源消耗。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AD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4C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7CB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次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C26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1.“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次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”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指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“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人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·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次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”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。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2.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医疗机构使用由血库、血站提供的辐照血时，不再另收血液辐照费。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D3A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100.8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BB8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92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56E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84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767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77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6B5088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68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B47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乙类</w:t>
            </w:r>
          </w:p>
        </w:tc>
      </w:tr>
      <w:tr w14:paraId="69482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8DAC5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C869E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013108000110000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EFE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血液除滤费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02F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通过装置除滤供血中的白细胞等成分。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626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所定价格涵盖审核、血制品准备、滤除、处理用物等步骤所需的人力资源和基本物质资源消耗。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AA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F3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072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次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7BF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“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次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”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指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“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人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·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次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”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22F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12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934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11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F0E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29A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2EE51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9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151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甲类</w:t>
            </w:r>
          </w:p>
        </w:tc>
      </w:tr>
      <w:tr w14:paraId="772F6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1" w:hRule="atLeast"/>
          <w:jc w:val="center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726DB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495DA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013108000120000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E79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术中自体血回输费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DB7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通过设备收集术中患者失血，处理后回输到患者体内。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197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所定价格涵盖失血回收、处理、回输、处理用物等步骤所需的人力资源、设备运转成本与基本物质资源消耗。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15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FD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CF5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次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3E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A34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230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D47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211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CF6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192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5BC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173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ED2C5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153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D91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甲类</w:t>
            </w:r>
          </w:p>
        </w:tc>
      </w:tr>
      <w:tr w14:paraId="6784A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 w14:paraId="41AB15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 w14:paraId="6B1E91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013108000130000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38D6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经照射自体血回输费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593A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通过光学技术照射等处理采集血，回输患者体内。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FD86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所定价格涵盖消毒、采血、照射、输氧、回输、处理用物等步骤所需的人力资源、设备运转成本与基本物质资源消耗。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0620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726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EAB1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次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B72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FE6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56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4F7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51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1F3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46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8C8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41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4454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B742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甲类</w:t>
            </w:r>
          </w:p>
        </w:tc>
      </w:tr>
      <w:tr w14:paraId="674C9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C7A2D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9081E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013108000140000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519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富血小板血浆制备费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813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通过采集外周血，浓缩提取富血小板血浆，用于后续治疗。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970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所定价格涵盖消毒、采血、分离、富集、保存、处理用物等步骤所需的人力资源和基本物质资源消耗。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3AB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A6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964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次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7F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35A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180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C2C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165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C7E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150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643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135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683BEF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121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D47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甲类</w:t>
            </w:r>
          </w:p>
        </w:tc>
      </w:tr>
      <w:tr w14:paraId="6A90E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7B823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A10A8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013108000150000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B7D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新生儿换血治疗费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907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通过替换新鲜的血液，改善新生儿溶血或体内代谢产物异常等病症。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327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所定价格涵盖消毒、穿刺、置管、反复抽取</w:t>
            </w:r>
            <w:r>
              <w:rPr>
                <w:rStyle w:val="8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/</w:t>
            </w: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推注、拔管、压迫止血、处理用物等步骤所需的人力资源和基本物质资源消耗。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AF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2D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E12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 w:bidi="ar"/>
              </w:rPr>
              <w:t>次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97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593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420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510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384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C1E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360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83B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324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2E346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292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1AB1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甲类</w:t>
            </w:r>
          </w:p>
        </w:tc>
      </w:tr>
    </w:tbl>
    <w:p w14:paraId="78120AD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A654BF"/>
    <w:rsid w:val="0EA6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4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spacing w:line="240" w:lineRule="atLeast"/>
      <w:ind w:firstLine="624"/>
      <w:jc w:val="left"/>
    </w:pPr>
    <w:rPr>
      <w:rFonts w:ascii="Times New Roman" w:hAnsi="Times New Roman" w:eastAsia="仿宋_GB2312" w:cs="Times New Roman"/>
      <w:kern w:val="2"/>
      <w:sz w:val="18"/>
      <w:lang w:val="en-US" w:eastAsia="zh-CN" w:bidi="ar-SA"/>
    </w:rPr>
  </w:style>
  <w:style w:type="paragraph" w:styleId="3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ind w:firstLine="624"/>
      <w:jc w:val="center"/>
    </w:pPr>
    <w:rPr>
      <w:rFonts w:ascii="Times New Roman" w:hAnsi="Times New Roman" w:eastAsia="仿宋_GB2312" w:cs="Times New Roman"/>
      <w:kern w:val="2"/>
      <w:sz w:val="18"/>
      <w:lang w:val="en-US" w:eastAsia="zh-CN" w:bidi="ar-SA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qFormat/>
    <w:uiPriority w:val="0"/>
  </w:style>
  <w:style w:type="character" w:customStyle="1" w:styleId="8">
    <w:name w:val="font2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9">
    <w:name w:val="font10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font01"/>
    <w:qFormat/>
    <w:uiPriority w:val="0"/>
    <w:rPr>
      <w:rFonts w:ascii="宋体-简" w:hAnsi="宋体-简" w:eastAsia="宋体-简" w:cs="宋体-简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2026-01-16T03:30:00Z</dcterms:created>
  <dc:creator>北梦木兮</dc:creator>
  <cp:lastModifiedBy>北梦木兮</cp:lastModifiedBy>
  <dcterms:modified xsi:type="dcterms:W3CDTF">2026-01-16T03:31:30Z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8C6994A4664541C6892B5D704A9FB775_11</vt:lpwstr>
  </property>
  <property fmtid="{D5CDD505-2E9C-101B-9397-08002B2CF9AE}" pid="4" name="KSOTemplateDocerSaveRecord">
    <vt:lpwstr>eyJoZGlkIjoiOWM1MjExOTc3ZTMxNWNiNmQ5M2QxNjU0ZDZlNjEwNTQiLCJ1c2VySWQiOiI0MzY4MjY4OTQifQ==</vt:lpwstr>
  </property>
</Properties>
</file>